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25bis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03023</w:t>
      </w:r>
      <w:bookmarkStart w:id="1" w:name="_GoBack"/>
      <w:bookmarkEnd w:id="1"/>
    </w:p>
    <w:p>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Changsha,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rPr>
        <w:t>15 - 19 April</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measurement event prediction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FS_NR_AIML_Mob</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rPr>
        <w:t xml:space="preserve">The study objectives for Rel-19 NR AI/ML for </w:t>
      </w:r>
      <w:r>
        <w:rPr>
          <w:rFonts w:hint="eastAsia" w:ascii="Arial" w:hAnsi="Arial" w:cs="Arial"/>
          <w:sz w:val="20"/>
          <w:szCs w:val="20"/>
          <w:lang w:val="en-US" w:eastAsia="zh-CN"/>
        </w:rPr>
        <w:t>Mobility</w:t>
      </w:r>
      <w:r>
        <w:rPr>
          <w:rFonts w:hint="eastAsia" w:ascii="Arial" w:hAnsi="Arial" w:cs="Arial"/>
          <w:sz w:val="20"/>
          <w:szCs w:val="20"/>
        </w:rPr>
        <w:t xml:space="preserve"> w</w:t>
      </w:r>
      <w:r>
        <w:rPr>
          <w:rFonts w:hint="eastAsia" w:ascii="Arial" w:hAnsi="Arial" w:cs="Arial"/>
          <w:sz w:val="20"/>
          <w:szCs w:val="20"/>
          <w:lang w:val="en-US" w:eastAsia="zh-CN"/>
        </w:rPr>
        <w:t>ere</w:t>
      </w:r>
      <w:r>
        <w:rPr>
          <w:rFonts w:hint="eastAsia" w:ascii="Arial" w:hAnsi="Arial" w:cs="Arial"/>
          <w:sz w:val="20"/>
          <w:szCs w:val="20"/>
        </w:rPr>
        <w:t xml:space="preserve"> approved in [1].</w:t>
      </w:r>
      <w:r>
        <w:rPr>
          <w:rFonts w:ascii="Arial" w:hAnsi="Arial" w:eastAsia="宋体" w:cs="Arial"/>
          <w:kern w:val="0"/>
          <w:sz w:val="20"/>
          <w:szCs w:val="20"/>
          <w:lang w:val="en-GB" w:eastAsia="en-US"/>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overflowPunct/>
              <w:spacing w:after="0"/>
              <w:jc w:val="both"/>
              <w:textAlignment w:val="auto"/>
              <w:rPr>
                <w:rFonts w:hint="default" w:ascii="Arial" w:hAnsi="Arial" w:cs="Arial"/>
                <w:bCs/>
                <w:sz w:val="20"/>
                <w:szCs w:val="20"/>
                <w:lang w:val="en-US"/>
              </w:rPr>
            </w:pPr>
            <w:r>
              <w:rPr>
                <w:rFonts w:hint="default" w:ascii="Arial" w:hAnsi="Arial" w:eastAsia="Calibri" w:cs="Arial"/>
                <w:bCs/>
                <w:sz w:val="20"/>
                <w:szCs w:val="20"/>
                <w:lang w:val="en-US"/>
              </w:rPr>
              <w:t>Study and evaluate potential benefits and gains of AI/ML aided mobility for network triggered L3-based handover, considering the following aspects:</w:t>
            </w:r>
          </w:p>
          <w:p>
            <w:pPr>
              <w:widowControl w:val="0"/>
              <w:numPr>
                <w:ilvl w:val="0"/>
                <w:numId w:val="6"/>
              </w:numPr>
              <w:overflowPunct/>
              <w:autoSpaceDE/>
              <w:autoSpaceDN/>
              <w:adjustRightInd/>
              <w:spacing w:after="0"/>
              <w:jc w:val="both"/>
              <w:textAlignment w:val="auto"/>
              <w:rPr>
                <w:rFonts w:hint="default" w:ascii="Arial" w:hAnsi="Arial" w:cs="Arial"/>
                <w:bCs/>
                <w:sz w:val="20"/>
                <w:szCs w:val="20"/>
                <w:lang w:val="en-US"/>
              </w:rPr>
            </w:pPr>
            <w:r>
              <w:rPr>
                <w:rFonts w:hint="default" w:ascii="Arial" w:hAnsi="Arial" w:eastAsia="Calibri" w:cs="Arial"/>
                <w:bCs/>
                <w:sz w:val="20"/>
                <w:szCs w:val="20"/>
                <w:lang w:val="en-US"/>
              </w:rPr>
              <w:t xml:space="preserve">AI/ML based RRM measurement and event prediction, </w:t>
            </w:r>
          </w:p>
          <w:p>
            <w:pPr>
              <w:widowControl w:val="0"/>
              <w:numPr>
                <w:ilvl w:val="1"/>
                <w:numId w:val="6"/>
              </w:numPr>
              <w:overflowPunct/>
              <w:autoSpaceDE/>
              <w:autoSpaceDN/>
              <w:adjustRightInd/>
              <w:spacing w:after="0"/>
              <w:jc w:val="both"/>
              <w:textAlignment w:val="auto"/>
              <w:rPr>
                <w:rFonts w:hint="default" w:ascii="Arial" w:hAnsi="Arial" w:eastAsia="等线" w:cs="Arial"/>
                <w:bCs/>
                <w:sz w:val="20"/>
                <w:szCs w:val="20"/>
                <w:lang w:val="en-US"/>
              </w:rPr>
            </w:pPr>
            <w:r>
              <w:rPr>
                <w:rFonts w:hint="default" w:ascii="Arial" w:hAnsi="Arial" w:eastAsia="Calibri" w:cs="Arial"/>
                <w:bCs/>
                <w:sz w:val="20"/>
                <w:szCs w:val="20"/>
                <w:lang w:val="en-US"/>
              </w:rPr>
              <w:t>Cell-level measurement prediction including intra and inter-frequency (UE sided and NW sided model) [RAN2]</w:t>
            </w:r>
          </w:p>
          <w:p>
            <w:pPr>
              <w:widowControl w:val="0"/>
              <w:numPr>
                <w:ilvl w:val="2"/>
                <w:numId w:val="6"/>
              </w:numPr>
              <w:overflowPunct/>
              <w:autoSpaceDE/>
              <w:autoSpaceDN/>
              <w:adjustRightInd/>
              <w:spacing w:after="0"/>
              <w:jc w:val="both"/>
              <w:textAlignment w:val="auto"/>
              <w:rPr>
                <w:rFonts w:hint="default" w:ascii="Arial" w:hAnsi="Arial" w:eastAsia="等线" w:cs="Arial"/>
                <w:bCs/>
                <w:sz w:val="20"/>
                <w:szCs w:val="20"/>
                <w:lang w:val="en-US"/>
              </w:rPr>
            </w:pPr>
            <w:r>
              <w:rPr>
                <w:rFonts w:hint="default" w:ascii="Arial" w:hAnsi="Arial" w:eastAsia="Calibri" w:cs="Arial"/>
                <w:bCs/>
                <w:sz w:val="20"/>
                <w:szCs w:val="20"/>
                <w:lang w:val="en-US"/>
              </w:rPr>
              <w:t>Inter-cell Beam-level measurement prediction for L3 Mobility (UE sided and NW sided model) [RAN2]</w:t>
            </w:r>
          </w:p>
          <w:p>
            <w:pPr>
              <w:widowControl w:val="0"/>
              <w:numPr>
                <w:ilvl w:val="1"/>
                <w:numId w:val="6"/>
              </w:numPr>
              <w:overflowPunct/>
              <w:autoSpaceDE/>
              <w:autoSpaceDN/>
              <w:adjustRightInd/>
              <w:spacing w:after="0"/>
              <w:jc w:val="both"/>
              <w:textAlignment w:val="auto"/>
              <w:rPr>
                <w:rFonts w:hint="default" w:ascii="Arial" w:hAnsi="Arial" w:cs="Arial"/>
                <w:bCs/>
                <w:sz w:val="20"/>
                <w:szCs w:val="20"/>
                <w:highlight w:val="none"/>
                <w:lang w:val="en-US"/>
              </w:rPr>
            </w:pPr>
            <w:r>
              <w:rPr>
                <w:rFonts w:hint="default" w:ascii="Arial" w:hAnsi="Arial" w:eastAsia="Calibri" w:cs="Arial"/>
                <w:bCs/>
                <w:sz w:val="20"/>
                <w:szCs w:val="20"/>
                <w:highlight w:val="none"/>
                <w:lang w:val="en-US"/>
              </w:rPr>
              <w:t>HO failure/RLF prediction (UE sided model) [RAN2]</w:t>
            </w:r>
          </w:p>
          <w:p>
            <w:pPr>
              <w:widowControl w:val="0"/>
              <w:numPr>
                <w:ilvl w:val="1"/>
                <w:numId w:val="6"/>
              </w:numPr>
              <w:overflowPunct/>
              <w:autoSpaceDE/>
              <w:autoSpaceDN/>
              <w:adjustRightInd/>
              <w:spacing w:after="0"/>
              <w:jc w:val="both"/>
              <w:textAlignment w:val="auto"/>
              <w:rPr>
                <w:rFonts w:hint="default" w:ascii="Arial" w:hAnsi="Arial" w:cs="Arial"/>
                <w:bCs/>
                <w:sz w:val="20"/>
                <w:szCs w:val="20"/>
                <w:highlight w:val="yellow"/>
                <w:lang w:val="en-US"/>
              </w:rPr>
            </w:pPr>
            <w:r>
              <w:rPr>
                <w:rFonts w:hint="default" w:ascii="Arial" w:hAnsi="Arial" w:eastAsia="Calibri" w:cs="Arial"/>
                <w:bCs/>
                <w:sz w:val="20"/>
                <w:szCs w:val="20"/>
                <w:highlight w:val="yellow"/>
                <w:lang w:val="en-US"/>
              </w:rPr>
              <w:t>Measurement events prediction (UE sided model) [RAN2]</w:t>
            </w:r>
          </w:p>
          <w:p>
            <w:pPr>
              <w:widowControl w:val="0"/>
              <w:numPr>
                <w:ilvl w:val="0"/>
                <w:numId w:val="6"/>
              </w:numPr>
              <w:overflowPunct/>
              <w:autoSpaceDE/>
              <w:autoSpaceDN/>
              <w:adjustRightInd/>
              <w:spacing w:after="0"/>
              <w:jc w:val="both"/>
              <w:textAlignment w:val="auto"/>
              <w:rPr>
                <w:rFonts w:hint="default" w:ascii="Arial" w:hAnsi="Arial" w:cs="Arial"/>
                <w:bCs/>
                <w:sz w:val="20"/>
                <w:szCs w:val="20"/>
                <w:lang w:val="en-US"/>
              </w:rPr>
            </w:pPr>
            <w:r>
              <w:rPr>
                <w:rFonts w:hint="default" w:ascii="Arial" w:hAnsi="Arial" w:cs="Arial"/>
                <w:bCs/>
                <w:sz w:val="20"/>
                <w:szCs w:val="20"/>
                <w:lang w:val="en-US"/>
              </w:rPr>
              <w:t>Study the need/benefits of any other UE assistance information for the network side model [RAN2]</w:t>
            </w:r>
          </w:p>
          <w:p>
            <w:pPr>
              <w:widowControl w:val="0"/>
              <w:overflowPunct/>
              <w:autoSpaceDE/>
              <w:autoSpaceDN/>
              <w:adjustRightInd/>
              <w:spacing w:after="0"/>
              <w:ind w:left="420"/>
              <w:jc w:val="both"/>
              <w:textAlignment w:val="auto"/>
              <w:rPr>
                <w:rFonts w:hint="default" w:ascii="Arial" w:hAnsi="Arial" w:cs="Arial"/>
                <w:bCs/>
                <w:sz w:val="20"/>
                <w:szCs w:val="20"/>
                <w:lang w:val="en-US"/>
              </w:rPr>
            </w:pPr>
          </w:p>
          <w:p>
            <w:pPr>
              <w:widowControl w:val="0"/>
              <w:numPr>
                <w:ilvl w:val="0"/>
                <w:numId w:val="6"/>
              </w:numPr>
              <w:overflowPunct/>
              <w:autoSpaceDE/>
              <w:autoSpaceDN/>
              <w:adjustRightInd/>
              <w:spacing w:after="0"/>
              <w:jc w:val="both"/>
              <w:textAlignment w:val="auto"/>
              <w:rPr>
                <w:rFonts w:hint="default" w:ascii="Arial" w:hAnsi="Arial" w:cs="Arial"/>
                <w:bCs/>
                <w:sz w:val="20"/>
                <w:szCs w:val="20"/>
                <w:highlight w:val="yellow"/>
              </w:rPr>
            </w:pPr>
            <w:r>
              <w:rPr>
                <w:rFonts w:hint="default" w:ascii="Arial" w:hAnsi="Arial" w:eastAsia="等线" w:cs="Arial"/>
                <w:bCs/>
                <w:sz w:val="20"/>
                <w:szCs w:val="20"/>
                <w:highlight w:val="yellow"/>
              </w:rPr>
              <w:t xml:space="preserve">The evaluation of the AI/ML aided mobility benefits should consider </w:t>
            </w:r>
            <w:r>
              <w:rPr>
                <w:rFonts w:hint="default" w:ascii="Arial" w:hAnsi="Arial" w:cs="Arial"/>
                <w:bCs/>
                <w:sz w:val="20"/>
                <w:szCs w:val="20"/>
                <w:highlight w:val="yellow"/>
              </w:rPr>
              <w:t>HO performance KPIs (e.g., Ping-pong HO, HOF/RLF, Time of stay, Handover interruption, prediction accuracy, and measurement reduction) etc.) and complexity tradeoffs [RAN2]</w:t>
            </w:r>
          </w:p>
          <w:p>
            <w:pPr>
              <w:widowControl w:val="0"/>
              <w:numPr>
                <w:ilvl w:val="1"/>
                <w:numId w:val="6"/>
              </w:numPr>
              <w:overflowPunct/>
              <w:autoSpaceDE/>
              <w:autoSpaceDN/>
              <w:adjustRightInd/>
              <w:spacing w:after="0"/>
              <w:jc w:val="both"/>
              <w:textAlignment w:val="auto"/>
              <w:rPr>
                <w:rFonts w:hint="default" w:ascii="Arial" w:hAnsi="Arial" w:cs="Arial"/>
                <w:bCs/>
                <w:sz w:val="20"/>
                <w:szCs w:val="20"/>
              </w:rPr>
            </w:pPr>
            <w:r>
              <w:rPr>
                <w:rFonts w:hint="default" w:ascii="Arial" w:hAnsi="Arial" w:cs="Arial"/>
                <w:bCs/>
                <w:sz w:val="20"/>
                <w:szCs w:val="20"/>
              </w:rPr>
              <w:t>NOTE: Simulation assumption and methodology can leverage TR 38.901, 38.843 and 36.839. And leave the detail discussion to RAN2</w:t>
            </w:r>
          </w:p>
          <w:p>
            <w:pPr>
              <w:widowControl w:val="0"/>
              <w:numPr>
                <w:ilvl w:val="0"/>
                <w:numId w:val="6"/>
              </w:numPr>
              <w:overflowPunct/>
              <w:autoSpaceDE/>
              <w:autoSpaceDN/>
              <w:adjustRightInd/>
              <w:spacing w:after="0"/>
              <w:jc w:val="both"/>
              <w:textAlignment w:val="auto"/>
              <w:rPr>
                <w:rFonts w:hint="default" w:ascii="Arial" w:hAnsi="Arial" w:cs="Arial"/>
                <w:bCs/>
                <w:sz w:val="20"/>
                <w:szCs w:val="20"/>
              </w:rPr>
            </w:pPr>
            <w:r>
              <w:rPr>
                <w:rFonts w:hint="default" w:ascii="Arial" w:hAnsi="Arial" w:cs="Arial"/>
                <w:bCs/>
                <w:sz w:val="20"/>
                <w:szCs w:val="20"/>
              </w:rPr>
              <w:t xml:space="preserve">Potential AI mobility specific enhancement should be based on the Rel19 AI/ML-air interface WID general framework (e.g. LCM, performance monitoring etc) [RAN2]  </w:t>
            </w:r>
          </w:p>
          <w:p>
            <w:pPr>
              <w:widowControl w:val="0"/>
              <w:numPr>
                <w:ilvl w:val="1"/>
                <w:numId w:val="6"/>
              </w:numPr>
              <w:overflowPunct/>
              <w:autoSpaceDE/>
              <w:autoSpaceDN/>
              <w:adjustRightInd/>
              <w:spacing w:after="0"/>
              <w:jc w:val="both"/>
              <w:textAlignment w:val="auto"/>
              <w:rPr>
                <w:rFonts w:hint="default" w:ascii="Arial" w:hAnsi="Arial" w:cs="Arial"/>
                <w:bCs/>
                <w:sz w:val="20"/>
                <w:szCs w:val="20"/>
              </w:rPr>
            </w:pPr>
            <w:r>
              <w:rPr>
                <w:rFonts w:hint="default" w:ascii="Arial" w:hAnsi="Arial" w:cs="Arial"/>
                <w:bCs/>
                <w:sz w:val="20"/>
                <w:szCs w:val="20"/>
              </w:rPr>
              <w:t xml:space="preserve">NOTE: This would only be treated after sufficient progress is made in the Rel-19 AI/ML air interface WID </w:t>
            </w:r>
          </w:p>
          <w:p>
            <w:pPr>
              <w:widowControl w:val="0"/>
              <w:numPr>
                <w:ilvl w:val="0"/>
                <w:numId w:val="6"/>
              </w:numPr>
              <w:overflowPunct/>
              <w:autoSpaceDE/>
              <w:autoSpaceDN/>
              <w:adjustRightInd/>
              <w:spacing w:after="0"/>
              <w:ind w:hanging="357"/>
              <w:jc w:val="both"/>
              <w:textAlignment w:val="auto"/>
              <w:rPr>
                <w:rFonts w:hint="default" w:ascii="Arial" w:hAnsi="Arial" w:cs="Arial"/>
                <w:bCs/>
                <w:sz w:val="20"/>
                <w:szCs w:val="20"/>
              </w:rPr>
            </w:pPr>
            <w:r>
              <w:rPr>
                <w:rFonts w:hint="default" w:ascii="Arial" w:hAnsi="Arial" w:cs="Arial"/>
                <w:bCs/>
                <w:sz w:val="20"/>
                <w:szCs w:val="20"/>
              </w:rPr>
              <w:t xml:space="preserve">Potential specification impacts of </w:t>
            </w:r>
            <w:r>
              <w:rPr>
                <w:rFonts w:hint="default" w:ascii="Arial" w:hAnsi="Arial" w:eastAsia="Calibri" w:cs="Arial"/>
                <w:bCs/>
                <w:sz w:val="20"/>
                <w:szCs w:val="20"/>
                <w:lang w:val="en-US"/>
              </w:rPr>
              <w:t>AI/ML aided mobility [RAN2]</w:t>
            </w:r>
          </w:p>
          <w:p>
            <w:pPr>
              <w:widowControl w:val="0"/>
              <w:numPr>
                <w:ilvl w:val="0"/>
                <w:numId w:val="6"/>
              </w:numPr>
              <w:overflowPunct/>
              <w:autoSpaceDE/>
              <w:autoSpaceDN/>
              <w:adjustRightInd/>
              <w:spacing w:after="0"/>
              <w:ind w:hanging="357"/>
              <w:jc w:val="both"/>
              <w:textAlignment w:val="auto"/>
              <w:rPr>
                <w:rFonts w:hint="default" w:ascii="Arial" w:hAnsi="Arial" w:eastAsia="宋体" w:cs="Arial"/>
                <w:kern w:val="0"/>
                <w:sz w:val="20"/>
                <w:szCs w:val="20"/>
                <w:lang w:val="en-GB" w:eastAsia="en-GB"/>
              </w:rPr>
            </w:pPr>
            <w:bookmarkStart w:id="0" w:name="_Hlk153472406"/>
            <w:r>
              <w:rPr>
                <w:rFonts w:hint="default" w:ascii="Arial" w:hAnsi="Arial" w:cs="Arial"/>
                <w:bCs/>
                <w:sz w:val="20"/>
                <w:szCs w:val="20"/>
                <w:lang w:eastAsia="zh-CN"/>
              </w:rPr>
              <w:t>Evaluate testability, interoperability,</w:t>
            </w:r>
            <w:bookmarkEnd w:id="0"/>
            <w:r>
              <w:rPr>
                <w:rFonts w:hint="default" w:ascii="Arial" w:hAnsi="Arial" w:cs="Arial"/>
                <w:bCs/>
                <w:sz w:val="20"/>
                <w:szCs w:val="20"/>
                <w:lang w:eastAsia="zh-CN"/>
              </w:rPr>
              <w:t xml:space="preserve"> and </w:t>
            </w:r>
            <w:r>
              <w:rPr>
                <w:rFonts w:hint="default" w:ascii="Arial" w:hAnsi="Arial" w:cs="Arial"/>
                <w:bCs/>
                <w:sz w:val="20"/>
                <w:szCs w:val="20"/>
              </w:rPr>
              <w:t>impacts on RRM requirements and performance</w:t>
            </w:r>
            <w:r>
              <w:rPr>
                <w:rFonts w:hint="default" w:ascii="Arial" w:hAnsi="Arial" w:cs="Arial"/>
                <w:bCs/>
                <w:sz w:val="20"/>
                <w:szCs w:val="20"/>
                <w:lang w:eastAsia="zh-CN"/>
              </w:rPr>
              <w:t xml:space="preserve"> [RAN4]</w:t>
            </w:r>
          </w:p>
        </w:tc>
      </w:tr>
    </w:tbl>
    <w:p>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rPr>
        <w:t>In t</w:t>
      </w:r>
      <w:r>
        <w:rPr>
          <w:rFonts w:ascii="Arial" w:hAnsi="Arial" w:eastAsia="宋体" w:cs="Arial"/>
          <w:kern w:val="0"/>
          <w:sz w:val="20"/>
          <w:szCs w:val="20"/>
          <w:lang w:val="en-GB"/>
        </w:rPr>
        <w:t>his contribution</w:t>
      </w:r>
      <w:r>
        <w:rPr>
          <w:rFonts w:hint="eastAsia" w:ascii="Arial" w:hAnsi="Arial" w:eastAsia="宋体" w:cs="Arial"/>
          <w:kern w:val="0"/>
          <w:sz w:val="20"/>
          <w:szCs w:val="20"/>
        </w:rPr>
        <w:t>, we</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rPr>
        <w:t xml:space="preserve">discuss on </w:t>
      </w:r>
      <w:r>
        <w:rPr>
          <w:rFonts w:hint="eastAsia" w:ascii="Arial" w:hAnsi="Arial" w:eastAsia="宋体" w:cs="Arial"/>
          <w:kern w:val="0"/>
          <w:sz w:val="20"/>
          <w:szCs w:val="20"/>
          <w:lang w:val="en-US" w:eastAsia="zh-CN"/>
        </w:rPr>
        <w:t>measurement event prediction specific sub use cases and relevant performance metrics/KPIs to evaluate</w:t>
      </w:r>
      <w:r>
        <w:rPr>
          <w:rFonts w:ascii="Arial" w:hAnsi="Arial" w:eastAsia="宋体" w:cs="Arial"/>
          <w:kern w:val="0"/>
          <w:sz w:val="20"/>
          <w:szCs w:val="20"/>
          <w:lang w:val="en-GB"/>
        </w:rPr>
        <w:t>.</w:t>
      </w:r>
    </w:p>
    <w:p>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2.1 Potential benefits for measurement event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0"/>
          <w:lang w:val="en-US" w:eastAsia="zh-CN"/>
        </w:rPr>
      </w:pPr>
      <w:r>
        <w:rPr>
          <w:rFonts w:hint="eastAsia" w:ascii="Arial" w:hAnsi="Arial" w:cs="Arial"/>
          <w:sz w:val="20"/>
          <w:szCs w:val="21"/>
          <w:lang w:val="en-US" w:eastAsia="zh-CN"/>
        </w:rPr>
        <w:t>In legacy handover procedure, when a HO event is fulfilled for the duration of time-to-trigger (TTT), the UE will send the measurement report (MR) to the network. Afterwards, the network can make handover decision and send HO command to the UE</w:t>
      </w:r>
      <w:r>
        <w:rPr>
          <w:rFonts w:hint="eastAsia" w:ascii="Arial" w:hAnsi="Arial" w:cs="Arial"/>
          <w:sz w:val="20"/>
          <w:szCs w:val="20"/>
          <w:lang w:val="en-US" w:eastAsia="zh-CN"/>
        </w:rPr>
        <w:t xml:space="preserve">. Figure 1 illustrates the basic procedure of handover taking A3 event as an example. The A3 event is met at Ta, and measurement report is sent at Tb (Ta + TTT). The gNB sends a HO command (HO CMD) after HO preparation and the UE receives HO command at Tc. </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3683635" cy="2178050"/>
            <wp:effectExtent l="0" t="0" r="2540" b="317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4"/>
                    <a:stretch>
                      <a:fillRect/>
                    </a:stretch>
                  </pic:blipFill>
                  <pic:spPr>
                    <a:xfrm>
                      <a:off x="0" y="0"/>
                      <a:ext cx="3683635" cy="21780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ascii="Arial" w:hAnsi="Arial" w:cs="Arial"/>
          <w:b/>
          <w:bCs/>
          <w:sz w:val="20"/>
          <w:szCs w:val="21"/>
          <w:lang w:val="en-US" w:eastAsia="zh-CN"/>
        </w:rPr>
      </w:pPr>
      <w:r>
        <w:rPr>
          <w:rFonts w:hint="eastAsia" w:ascii="Arial" w:hAnsi="Arial" w:cs="Arial"/>
          <w:b/>
          <w:bCs/>
          <w:sz w:val="20"/>
          <w:szCs w:val="21"/>
          <w:lang w:val="en-US" w:eastAsia="zh-CN"/>
        </w:rPr>
        <w:t>Figure 1. An example for legacy HO</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0"/>
          <w:lang w:val="en-US" w:eastAsia="zh-CN"/>
        </w:rPr>
      </w:pPr>
      <w:r>
        <w:rPr>
          <w:rFonts w:hint="eastAsia" w:ascii="Arial" w:hAnsi="Arial" w:cs="Arial"/>
          <w:sz w:val="20"/>
          <w:szCs w:val="20"/>
          <w:lang w:val="en-US" w:eastAsia="zh-CN"/>
        </w:rPr>
        <w:t>On the one hand, there is the latency from A3 event met to receiving HO CMD (i.e. Ta to Tc, the blue arrow). We think AI/ML can be used to predict whether the A3 event can be fulfilled for the duration of TTT. And if so, the UE can send the measurement report in advance (i.e. before Tb), which will reduce the latency of handover preparation.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0"/>
          <w:lang w:val="en-US" w:eastAsia="zh-CN"/>
        </w:rPr>
      </w:pPr>
      <w:r>
        <w:rPr>
          <w:rFonts w:hint="eastAsia" w:ascii="Arial" w:hAnsi="Arial" w:cs="Arial"/>
          <w:sz w:val="20"/>
          <w:szCs w:val="20"/>
          <w:lang w:val="en-US" w:eastAsia="zh-CN"/>
        </w:rPr>
        <w:t xml:space="preserve">On the other hand, the HO CMD may be transmitted when the UE is in a poor radio link condition of serving cell (i.e. red circle), which means the configured TTT is too long. Thus, RLF may be occurred before the HO completion, which is similar to </w:t>
      </w:r>
      <w:r>
        <w:rPr>
          <w:rFonts w:hint="default" w:ascii="Arial" w:hAnsi="Arial" w:cs="Arial"/>
          <w:sz w:val="20"/>
          <w:szCs w:val="20"/>
          <w:lang w:val="en-US" w:eastAsia="zh-CN"/>
        </w:rPr>
        <w:t>“</w:t>
      </w:r>
      <w:r>
        <w:rPr>
          <w:rFonts w:hint="eastAsia" w:ascii="Arial" w:hAnsi="Arial" w:cs="Arial"/>
          <w:sz w:val="20"/>
          <w:szCs w:val="20"/>
          <w:lang w:val="en-US" w:eastAsia="zh-CN"/>
        </w:rPr>
        <w:t>Too Late Handover</w:t>
      </w:r>
      <w:r>
        <w:rPr>
          <w:rFonts w:hint="default" w:ascii="Arial" w:hAnsi="Arial" w:cs="Arial"/>
          <w:sz w:val="20"/>
          <w:szCs w:val="20"/>
          <w:lang w:val="en-US" w:eastAsia="zh-CN"/>
        </w:rPr>
        <w:t>”</w:t>
      </w:r>
      <w:r>
        <w:rPr>
          <w:rFonts w:hint="eastAsia" w:ascii="Arial" w:hAnsi="Arial" w:cs="Arial"/>
          <w:sz w:val="20"/>
          <w:szCs w:val="20"/>
          <w:lang w:val="en-US" w:eastAsia="zh-CN"/>
        </w:rPr>
        <w:t>. In this case, AI/ML can be used to predict a optimal configuration for measurement event.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3251200" cy="1917065"/>
            <wp:effectExtent l="0" t="0" r="6350" b="698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5"/>
                    <a:stretch>
                      <a:fillRect/>
                    </a:stretch>
                  </pic:blipFill>
                  <pic:spPr>
                    <a:xfrm>
                      <a:off x="0" y="0"/>
                      <a:ext cx="3251200" cy="191706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lang w:val="en-US" w:eastAsia="zh-CN"/>
        </w:rPr>
      </w:pPr>
      <w:r>
        <w:rPr>
          <w:rFonts w:hint="default" w:ascii="Arial" w:hAnsi="Arial" w:cs="Arial"/>
          <w:b/>
          <w:bCs/>
          <w:sz w:val="20"/>
          <w:szCs w:val="21"/>
          <w:lang w:val="en-US" w:eastAsia="zh-CN"/>
        </w:rPr>
        <w:t xml:space="preserve">Figure </w:t>
      </w:r>
      <w:r>
        <w:rPr>
          <w:rFonts w:hint="eastAsia" w:ascii="Arial" w:hAnsi="Arial" w:cs="Arial"/>
          <w:b/>
          <w:bCs/>
          <w:sz w:val="20"/>
          <w:szCs w:val="21"/>
          <w:lang w:val="en-US" w:eastAsia="zh-CN"/>
        </w:rPr>
        <w:t>2</w:t>
      </w:r>
      <w:r>
        <w:rPr>
          <w:rFonts w:hint="default" w:ascii="Arial" w:hAnsi="Arial" w:cs="Arial"/>
          <w:b/>
          <w:bCs/>
          <w:sz w:val="20"/>
          <w:szCs w:val="21"/>
          <w:lang w:val="en-US" w:eastAsia="zh-CN"/>
        </w:rPr>
        <w:t xml:space="preserve">. Basic flow for </w:t>
      </w:r>
      <w:r>
        <w:rPr>
          <w:rFonts w:hint="eastAsia" w:ascii="Arial" w:hAnsi="Arial" w:cs="Arial"/>
          <w:b/>
          <w:bCs/>
          <w:sz w:val="20"/>
          <w:szCs w:val="21"/>
          <w:lang w:val="en-US" w:eastAsia="zh-CN"/>
        </w:rPr>
        <w:t>measurement event</w:t>
      </w:r>
      <w:r>
        <w:rPr>
          <w:rFonts w:hint="default" w:ascii="Arial" w:hAnsi="Arial" w:cs="Arial"/>
          <w:b/>
          <w:bCs/>
          <w:sz w:val="20"/>
          <w:szCs w:val="21"/>
          <w:lang w:val="en-US" w:eastAsia="zh-CN"/>
        </w:rPr>
        <w:t xml:space="preserve">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0"/>
          <w:lang w:val="en-US" w:eastAsia="zh-CN"/>
        </w:rPr>
      </w:pPr>
      <w:r>
        <w:rPr>
          <w:rFonts w:hint="eastAsia" w:ascii="Arial" w:hAnsi="Arial" w:cs="Arial"/>
          <w:sz w:val="20"/>
          <w:szCs w:val="20"/>
          <w:lang w:val="en-US" w:eastAsia="zh-CN"/>
        </w:rPr>
        <w:t>Based on the analysis above, we think RAN2 can study the potential benefits of measurement events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 Reduce the latency of handover preparation by sending the measurement report in advance based on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 Optimize the measurement event configuration based on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bCs/>
          <w:sz w:val="20"/>
          <w:szCs w:val="20"/>
          <w:lang w:val="en-US" w:eastAsia="zh-CN"/>
        </w:rPr>
      </w:pPr>
      <w:r>
        <w:rPr>
          <w:rFonts w:hint="eastAsia" w:ascii="Arial" w:hAnsi="Arial" w:cs="Arial"/>
          <w:b/>
          <w:bCs/>
          <w:sz w:val="20"/>
          <w:szCs w:val="20"/>
          <w:lang w:val="en-US" w:eastAsia="zh-CN"/>
        </w:rPr>
        <w:t>Proposal 1: RAN2 study the following potential benefits of measurement events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sz w:val="20"/>
          <w:szCs w:val="20"/>
          <w:lang w:val="en-US" w:eastAsia="zh-CN"/>
        </w:rPr>
      </w:pPr>
      <w:r>
        <w:rPr>
          <w:rFonts w:hint="eastAsia" w:ascii="Arial" w:hAnsi="Arial" w:cs="Arial"/>
          <w:b/>
          <w:bCs/>
          <w:sz w:val="20"/>
          <w:szCs w:val="20"/>
          <w:lang w:val="en-US" w:eastAsia="zh-CN"/>
        </w:rPr>
        <w:t>- Handover preparation latency reduction by sending the measurement report in advance based on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b/>
          <w:bCs/>
          <w:sz w:val="20"/>
          <w:szCs w:val="21"/>
          <w:lang w:val="en-US" w:eastAsia="zh-CN"/>
        </w:rPr>
      </w:pPr>
      <w:r>
        <w:rPr>
          <w:rFonts w:hint="eastAsia" w:ascii="Arial" w:hAnsi="Arial" w:cs="Arial"/>
          <w:b/>
          <w:bCs/>
          <w:sz w:val="20"/>
          <w:szCs w:val="20"/>
          <w:lang w:val="en-US" w:eastAsia="zh-CN"/>
        </w:rPr>
        <w:t>- Measurement events configuration optimization based on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bCs/>
          <w:sz w:val="20"/>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2.2 Potential sub-use cases for measurement event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1"/>
          <w:lang w:val="en-US" w:eastAsia="zh-CN"/>
        </w:rPr>
      </w:pPr>
      <w:r>
        <w:rPr>
          <w:rFonts w:hint="eastAsia" w:ascii="Arial" w:hAnsi="Arial" w:cs="Arial"/>
          <w:sz w:val="20"/>
          <w:szCs w:val="21"/>
          <w:lang w:val="en-US" w:eastAsia="zh-CN"/>
        </w:rPr>
        <w:t xml:space="preserve">For the possible prediction methods, we think there are two potential sub-use cases for measurement event prediction with UE-sided model. </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sz w:val="20"/>
          <w:szCs w:val="21"/>
          <w:lang w:val="en-US" w:eastAsia="zh-CN"/>
        </w:rPr>
      </w:pPr>
      <w:r>
        <w:rPr>
          <w:rFonts w:hint="eastAsia" w:ascii="Arial" w:hAnsi="Arial" w:cs="Arial"/>
          <w:b/>
          <w:bCs/>
          <w:sz w:val="20"/>
          <w:szCs w:val="21"/>
          <w:lang w:val="en-US" w:eastAsia="zh-CN"/>
        </w:rPr>
        <w:t>- Sub-use case 1 (Intermediate way): The UE predict RRM measurement firstly, and derive measurement event based on predicted RRM measurement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b/>
          <w:bCs/>
          <w:sz w:val="20"/>
          <w:szCs w:val="21"/>
          <w:lang w:val="en-US" w:eastAsia="zh-CN"/>
        </w:rPr>
      </w:pPr>
      <w:r>
        <w:rPr>
          <w:rFonts w:hint="eastAsia" w:ascii="Arial" w:hAnsi="Arial" w:cs="Arial"/>
          <w:b/>
          <w:bCs/>
          <w:sz w:val="20"/>
          <w:szCs w:val="21"/>
          <w:lang w:val="en-US" w:eastAsia="zh-CN"/>
        </w:rPr>
        <w:t>- Sub-use case 2 (Direct way): The UE predict measurement event directly based on input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5159375" cy="6223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5159375" cy="62230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ascii="Arial" w:hAnsi="Arial" w:cs="Arial" w:eastAsiaTheme="minorEastAsia"/>
          <w:sz w:val="20"/>
          <w:szCs w:val="21"/>
          <w:lang w:val="en-US" w:eastAsia="zh-CN"/>
        </w:rPr>
      </w:pPr>
      <w:r>
        <w:rPr>
          <w:rFonts w:hint="eastAsia" w:ascii="Arial" w:hAnsi="Arial" w:cs="Arial"/>
          <w:sz w:val="20"/>
          <w:szCs w:val="21"/>
          <w:lang w:val="en-US" w:eastAsia="zh-CN"/>
        </w:rPr>
        <w:t xml:space="preserve">Case </w:t>
      </w:r>
      <w:r>
        <w:rPr>
          <w:rFonts w:hint="default" w:ascii="Arial" w:hAnsi="Arial" w:cs="Arial"/>
          <w:sz w:val="20"/>
          <w:szCs w:val="21"/>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3874770" cy="585470"/>
            <wp:effectExtent l="0" t="0" r="1905" b="508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7"/>
                    <a:stretch>
                      <a:fillRect/>
                    </a:stretch>
                  </pic:blipFill>
                  <pic:spPr>
                    <a:xfrm>
                      <a:off x="0" y="0"/>
                      <a:ext cx="3874770" cy="58547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eastAsia" w:ascii="Arial" w:hAnsi="Arial" w:cs="Arial"/>
          <w:sz w:val="20"/>
          <w:szCs w:val="21"/>
          <w:lang w:val="en-US" w:eastAsia="zh-CN"/>
        </w:rPr>
      </w:pPr>
      <w:r>
        <w:rPr>
          <w:rFonts w:hint="eastAsia" w:ascii="Arial" w:hAnsi="Arial" w:cs="Arial"/>
          <w:sz w:val="20"/>
          <w:szCs w:val="21"/>
          <w:lang w:val="en-US" w:eastAsia="zh-CN"/>
        </w:rPr>
        <w:t>Case 2</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ascii="Arial" w:hAnsi="Arial" w:cs="Arial"/>
          <w:b/>
          <w:bCs/>
          <w:sz w:val="20"/>
          <w:szCs w:val="21"/>
          <w:lang w:val="en-US" w:eastAsia="zh-CN"/>
        </w:rPr>
      </w:pPr>
      <w:r>
        <w:rPr>
          <w:rFonts w:hint="eastAsia" w:ascii="Arial" w:hAnsi="Arial" w:cs="Arial"/>
          <w:b/>
          <w:bCs/>
          <w:sz w:val="20"/>
          <w:szCs w:val="21"/>
          <w:lang w:val="en-US" w:eastAsia="zh-CN"/>
        </w:rPr>
        <w:t>Figure 2. Potential sub-use cases for measurement event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Cs/>
          <w:sz w:val="20"/>
          <w:szCs w:val="20"/>
          <w:highlight w:val="none"/>
          <w:lang w:val="en-US" w:eastAsia="zh-CN"/>
        </w:rPr>
      </w:pPr>
      <w:r>
        <w:rPr>
          <w:rFonts w:hint="eastAsia" w:ascii="Arial" w:hAnsi="Arial" w:cs="Arial"/>
          <w:bCs/>
          <w:sz w:val="20"/>
          <w:szCs w:val="20"/>
          <w:highlight w:val="none"/>
          <w:lang w:val="en-US" w:eastAsia="zh-CN"/>
        </w:rPr>
        <w:t>For case 1, the studies for RRM measurement prediction can be reused, including input, output and evaluation methods and metrics. How to derive measurement events is up to UE implementation.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1"/>
          <w:lang w:val="en-US" w:eastAsia="zh-CN"/>
        </w:rPr>
      </w:pPr>
      <w:r>
        <w:rPr>
          <w:rFonts w:hint="eastAsia" w:ascii="Arial" w:hAnsi="Arial" w:cs="Arial"/>
          <w:bCs/>
          <w:sz w:val="20"/>
          <w:szCs w:val="20"/>
          <w:lang w:val="en-US" w:eastAsia="zh-CN"/>
        </w:rPr>
        <w:t xml:space="preserve">For case 2, RAN2 can further study the details of input and output. For example, the input can be L1/L3 measurement, etc. The output can be whether the measurement event will be satisfied and if so, the </w:t>
      </w:r>
      <w:r>
        <w:rPr>
          <w:rFonts w:hint="eastAsia" w:ascii="Arial" w:hAnsi="Arial" w:cs="Arial"/>
          <w:sz w:val="20"/>
          <w:szCs w:val="21"/>
          <w:lang w:val="en-US" w:eastAsia="zh-CN"/>
        </w:rPr>
        <w:t xml:space="preserve">timing info of occurrence, etc. </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Proposal 2: RAN2 further study the potential sub-use cases for </w:t>
      </w:r>
      <w:r>
        <w:rPr>
          <w:rFonts w:hint="eastAsia" w:ascii="Arial" w:hAnsi="Arial" w:cs="Arial"/>
          <w:b/>
          <w:bCs/>
          <w:sz w:val="20"/>
          <w:szCs w:val="21"/>
          <w:lang w:val="en-US" w:eastAsia="zh-CN"/>
        </w:rPr>
        <w:t>measurement event</w:t>
      </w:r>
      <w:r>
        <w:rPr>
          <w:rFonts w:hint="eastAsia" w:ascii="Arial" w:hAnsi="Arial" w:cs="Arial"/>
          <w:b/>
          <w:bCs w:val="0"/>
          <w:sz w:val="20"/>
          <w:szCs w:val="20"/>
          <w:lang w:val="en-US" w:eastAsia="zh-CN"/>
        </w:rPr>
        <w:t xml:space="preserve">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val="0"/>
          <w:sz w:val="20"/>
          <w:szCs w:val="21"/>
          <w:lang w:val="en-US" w:eastAsia="zh-CN"/>
        </w:rPr>
      </w:pPr>
      <w:r>
        <w:rPr>
          <w:rFonts w:hint="eastAsia" w:ascii="Arial" w:hAnsi="Arial" w:cs="Arial"/>
          <w:b/>
          <w:bCs w:val="0"/>
          <w:sz w:val="20"/>
          <w:szCs w:val="21"/>
          <w:lang w:val="en-US" w:eastAsia="zh-CN"/>
        </w:rPr>
        <w:t xml:space="preserve">- Sub-use case 1 (Intermediate way): The UE predicts RRM measurement, and derive </w:t>
      </w:r>
      <w:r>
        <w:rPr>
          <w:rFonts w:hint="eastAsia" w:ascii="Arial" w:hAnsi="Arial" w:cs="Arial"/>
          <w:b/>
          <w:bCs/>
          <w:sz w:val="20"/>
          <w:szCs w:val="21"/>
          <w:lang w:val="en-US" w:eastAsia="zh-CN"/>
        </w:rPr>
        <w:t>measurement event</w:t>
      </w:r>
      <w:r>
        <w:rPr>
          <w:rFonts w:hint="eastAsia" w:ascii="Arial" w:hAnsi="Arial" w:cs="Arial"/>
          <w:b/>
          <w:bCs w:val="0"/>
          <w:sz w:val="20"/>
          <w:szCs w:val="21"/>
          <w:lang w:val="en-US" w:eastAsia="zh-CN"/>
        </w:rPr>
        <w:t xml:space="preserve"> based on predicted RRM measurement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b/>
          <w:bCs w:val="0"/>
          <w:sz w:val="20"/>
          <w:szCs w:val="21"/>
          <w:lang w:val="en-US" w:eastAsia="zh-CN"/>
        </w:rPr>
      </w:pPr>
      <w:r>
        <w:rPr>
          <w:rFonts w:hint="eastAsia" w:ascii="Arial" w:hAnsi="Arial" w:cs="Arial"/>
          <w:b/>
          <w:bCs w:val="0"/>
          <w:sz w:val="20"/>
          <w:szCs w:val="21"/>
          <w:lang w:val="en-US" w:eastAsia="zh-CN"/>
        </w:rPr>
        <w:t xml:space="preserve">- Sub-use case 2 (Direct way): The UE predicts </w:t>
      </w:r>
      <w:r>
        <w:rPr>
          <w:rFonts w:hint="eastAsia" w:ascii="Arial" w:hAnsi="Arial" w:cs="Arial"/>
          <w:b/>
          <w:bCs/>
          <w:sz w:val="20"/>
          <w:szCs w:val="21"/>
          <w:lang w:val="en-US" w:eastAsia="zh-CN"/>
        </w:rPr>
        <w:t>measurement event</w:t>
      </w:r>
      <w:r>
        <w:rPr>
          <w:rFonts w:hint="eastAsia" w:ascii="Arial" w:hAnsi="Arial" w:cs="Arial"/>
          <w:b/>
          <w:bCs w:val="0"/>
          <w:sz w:val="20"/>
          <w:szCs w:val="21"/>
          <w:lang w:val="en-US" w:eastAsia="zh-CN"/>
        </w:rPr>
        <w:t xml:space="preserve"> directly based on input</w:t>
      </w:r>
    </w:p>
    <w:p>
      <w:pPr>
        <w:spacing w:before="120" w:beforeLines="50" w:after="120" w:line="240" w:lineRule="auto"/>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Proposal 3: For sub-use case 1, the </w:t>
      </w:r>
      <w:r>
        <w:rPr>
          <w:rFonts w:hint="eastAsia" w:ascii="Arial" w:hAnsi="Arial" w:cs="Arial"/>
          <w:b/>
          <w:bCs w:val="0"/>
          <w:sz w:val="20"/>
          <w:szCs w:val="20"/>
          <w:highlight w:val="none"/>
          <w:lang w:val="en-US" w:eastAsia="zh-CN"/>
        </w:rPr>
        <w:t xml:space="preserve">studies for RRM measurement prediction can be reused. For sub-use case 2, </w:t>
      </w:r>
      <w:r>
        <w:rPr>
          <w:rFonts w:hint="eastAsia" w:ascii="Arial" w:hAnsi="Arial" w:cs="Arial"/>
          <w:b/>
          <w:bCs w:val="0"/>
          <w:sz w:val="20"/>
          <w:szCs w:val="20"/>
          <w:lang w:val="en-US" w:eastAsia="zh-CN"/>
        </w:rPr>
        <w:t>RAN2 can further study the details of input and output.</w:t>
      </w:r>
    </w:p>
    <w:p>
      <w:pPr>
        <w:spacing w:before="120" w:beforeLines="50" w:after="120" w:line="240" w:lineRule="auto"/>
        <w:rPr>
          <w:rFonts w:hint="default" w:ascii="Arial" w:hAnsi="Arial" w:cs="Arial"/>
          <w:bCs/>
          <w:sz w:val="20"/>
          <w:szCs w:val="20"/>
          <w:lang w:val="en-US" w:eastAsia="zh-CN"/>
        </w:rPr>
      </w:pPr>
      <w:r>
        <w:rPr>
          <w:rFonts w:hint="eastAsia" w:ascii="Arial" w:hAnsi="Arial" w:cs="Arial"/>
          <w:bCs/>
          <w:sz w:val="20"/>
          <w:szCs w:val="20"/>
          <w:lang w:val="en-US" w:eastAsia="zh-CN"/>
        </w:rPr>
        <w:t>As specified in TS 38.331 [2], the different types of measurement event for handover are defined, e.g.</w:t>
      </w:r>
    </w:p>
    <w:p>
      <w:pPr>
        <w:spacing w:before="120" w:beforeLines="50" w:after="120" w:line="240" w:lineRule="auto"/>
        <w:ind w:leftChars="200"/>
        <w:rPr>
          <w:rFonts w:hint="eastAsia" w:ascii="Arial" w:hAnsi="Arial" w:cs="Arial"/>
          <w:bCs/>
          <w:sz w:val="20"/>
          <w:szCs w:val="20"/>
          <w:lang w:val="en-US" w:eastAsia="zh-CN"/>
        </w:rPr>
      </w:pPr>
      <w:r>
        <w:rPr>
          <w:rFonts w:hint="eastAsia" w:ascii="Arial" w:hAnsi="Arial" w:cs="Arial"/>
          <w:bCs/>
          <w:sz w:val="20"/>
          <w:szCs w:val="20"/>
          <w:lang w:val="en-US" w:eastAsia="zh-CN"/>
        </w:rPr>
        <w:t>- Event A1 (Serving becomes better than threshold)</w:t>
      </w:r>
    </w:p>
    <w:p>
      <w:pPr>
        <w:spacing w:before="120" w:beforeLines="50" w:after="120" w:line="240" w:lineRule="auto"/>
        <w:ind w:leftChars="200"/>
        <w:rPr>
          <w:rFonts w:hint="eastAsia" w:ascii="Arial" w:hAnsi="Arial" w:cs="Arial"/>
          <w:bCs/>
          <w:sz w:val="20"/>
          <w:szCs w:val="20"/>
          <w:lang w:val="en-US" w:eastAsia="zh-CN"/>
        </w:rPr>
      </w:pPr>
      <w:r>
        <w:rPr>
          <w:rFonts w:hint="eastAsia" w:ascii="Arial" w:hAnsi="Arial" w:cs="Arial"/>
          <w:bCs/>
          <w:sz w:val="20"/>
          <w:szCs w:val="20"/>
          <w:lang w:val="en-US" w:eastAsia="zh-CN"/>
        </w:rPr>
        <w:t>- Event A2 (Serving becomes worse than threshold)</w:t>
      </w:r>
    </w:p>
    <w:p>
      <w:pPr>
        <w:spacing w:before="120" w:beforeLines="50" w:after="120" w:line="240" w:lineRule="auto"/>
        <w:ind w:leftChars="200"/>
        <w:rPr>
          <w:rFonts w:hint="eastAsia" w:ascii="Arial" w:hAnsi="Arial" w:cs="Arial"/>
          <w:bCs/>
          <w:sz w:val="20"/>
          <w:szCs w:val="20"/>
          <w:lang w:val="en-US" w:eastAsia="zh-CN"/>
        </w:rPr>
      </w:pPr>
      <w:r>
        <w:rPr>
          <w:rFonts w:hint="eastAsia" w:ascii="Arial" w:hAnsi="Arial" w:cs="Arial"/>
          <w:bCs/>
          <w:sz w:val="20"/>
          <w:szCs w:val="20"/>
          <w:lang w:val="en-US" w:eastAsia="zh-CN"/>
        </w:rPr>
        <w:t>- Event A3 (Neighbour becomes offset better than SpCell)</w:t>
      </w:r>
    </w:p>
    <w:p>
      <w:pPr>
        <w:spacing w:before="120" w:beforeLines="50" w:after="120" w:line="240" w:lineRule="auto"/>
        <w:ind w:leftChars="200"/>
        <w:rPr>
          <w:rFonts w:hint="eastAsia" w:ascii="Arial" w:hAnsi="Arial" w:cs="Arial"/>
          <w:bCs/>
          <w:sz w:val="20"/>
          <w:szCs w:val="20"/>
          <w:lang w:val="en-US" w:eastAsia="zh-CN"/>
        </w:rPr>
      </w:pPr>
      <w:r>
        <w:rPr>
          <w:rFonts w:hint="eastAsia" w:ascii="Arial" w:hAnsi="Arial" w:cs="Arial"/>
          <w:bCs/>
          <w:sz w:val="20"/>
          <w:szCs w:val="20"/>
          <w:lang w:val="en-US" w:eastAsia="zh-CN"/>
        </w:rPr>
        <w:t>- Event A4 (Neighbour becomes better than threshold)</w:t>
      </w:r>
    </w:p>
    <w:p>
      <w:pPr>
        <w:spacing w:before="120" w:beforeLines="50" w:after="120" w:line="240" w:lineRule="auto"/>
        <w:ind w:leftChars="200"/>
        <w:rPr>
          <w:rFonts w:hint="eastAsia" w:ascii="Arial" w:hAnsi="Arial" w:cs="Arial"/>
          <w:bCs/>
          <w:sz w:val="20"/>
          <w:szCs w:val="20"/>
          <w:lang w:val="en-US" w:eastAsia="zh-CN"/>
        </w:rPr>
      </w:pPr>
      <w:r>
        <w:rPr>
          <w:rFonts w:hint="eastAsia" w:ascii="Arial" w:hAnsi="Arial" w:cs="Arial"/>
          <w:bCs/>
          <w:sz w:val="20"/>
          <w:szCs w:val="20"/>
          <w:lang w:val="en-US" w:eastAsia="zh-CN"/>
        </w:rPr>
        <w:t>- Event A5 (SpCell becomes worse than threshold1 and neighbour becomes better than threshold2)</w:t>
      </w:r>
    </w:p>
    <w:p>
      <w:pPr>
        <w:spacing w:before="120" w:beforeLines="50" w:after="120" w:line="240" w:lineRule="auto"/>
        <w:ind w:leftChars="200"/>
        <w:rPr>
          <w:rFonts w:hint="eastAsia" w:ascii="Arial" w:hAnsi="Arial" w:cs="Arial"/>
          <w:bCs/>
          <w:sz w:val="20"/>
          <w:szCs w:val="20"/>
          <w:lang w:val="en-US" w:eastAsia="zh-CN"/>
        </w:rPr>
      </w:pPr>
      <w:r>
        <w:rPr>
          <w:rFonts w:hint="eastAsia" w:ascii="Arial" w:hAnsi="Arial" w:cs="Arial"/>
          <w:bCs/>
          <w:sz w:val="20"/>
          <w:szCs w:val="20"/>
          <w:lang w:val="en-US" w:eastAsia="zh-CN"/>
        </w:rPr>
        <w:t>- Event B1 (Inter RAT neighbour becomes better than threshold)</w:t>
      </w:r>
    </w:p>
    <w:p>
      <w:pPr>
        <w:spacing w:before="120" w:beforeLines="50" w:after="120" w:line="240" w:lineRule="auto"/>
        <w:ind w:leftChars="200"/>
        <w:rPr>
          <w:rFonts w:hint="default" w:ascii="Arial" w:hAnsi="Arial" w:cs="Arial"/>
          <w:bCs/>
          <w:sz w:val="20"/>
          <w:szCs w:val="20"/>
          <w:lang w:val="en-US" w:eastAsia="zh-CN"/>
        </w:rPr>
      </w:pPr>
      <w:r>
        <w:rPr>
          <w:rFonts w:hint="eastAsia" w:ascii="Arial" w:hAnsi="Arial" w:cs="Arial"/>
          <w:bCs/>
          <w:sz w:val="20"/>
          <w:szCs w:val="20"/>
          <w:lang w:val="en-US" w:eastAsia="zh-CN"/>
        </w:rPr>
        <w:t>- Event B2 (PCell becomes worse than threshold1 and inter RAT neighbour becomes better than threshold2)</w:t>
      </w:r>
    </w:p>
    <w:p>
      <w:pPr>
        <w:spacing w:before="120" w:beforeLines="50" w:after="120" w:line="240" w:lineRule="auto"/>
        <w:rPr>
          <w:rFonts w:hint="default" w:ascii="Arial" w:hAnsi="Arial" w:cs="Arial"/>
          <w:bCs/>
          <w:sz w:val="20"/>
          <w:szCs w:val="20"/>
          <w:lang w:val="en-US" w:eastAsia="zh-CN"/>
        </w:rPr>
      </w:pPr>
      <w:r>
        <w:rPr>
          <w:rFonts w:hint="eastAsia" w:ascii="Arial" w:hAnsi="Arial" w:cs="Arial"/>
          <w:bCs/>
          <w:sz w:val="20"/>
          <w:szCs w:val="20"/>
          <w:lang w:val="en-US" w:eastAsia="zh-CN"/>
        </w:rPr>
        <w:t>One issue is whether all the events should be studied and evaluated in this SI. If so, the workload will be too heavy. On the other hand, some events are actually similar, for example, event A1/A2/A3 are related to the cell quality and the threshold. Therefore, we prefer to select the typical measurement events for study and evaluation. In commercial network, Event A3 and A5 are commonly used for handover. Therefore, we propose to study from them in R19.</w:t>
      </w:r>
    </w:p>
    <w:p>
      <w:pPr>
        <w:spacing w:before="120" w:beforeLines="50" w:after="120" w:line="240" w:lineRule="auto"/>
        <w:rPr>
          <w:rFonts w:hint="default" w:ascii="Arial" w:hAnsi="Arial" w:cs="Arial"/>
          <w:b/>
          <w:bCs w:val="0"/>
          <w:sz w:val="20"/>
          <w:szCs w:val="20"/>
          <w:lang w:val="en-US" w:eastAsia="zh-CN"/>
        </w:rPr>
      </w:pPr>
      <w:r>
        <w:rPr>
          <w:rFonts w:hint="eastAsia" w:ascii="Arial" w:hAnsi="Arial" w:cs="Arial"/>
          <w:b/>
          <w:bCs w:val="0"/>
          <w:sz w:val="20"/>
          <w:szCs w:val="20"/>
          <w:lang w:val="en-US" w:eastAsia="zh-CN"/>
        </w:rPr>
        <w:t>Observation 1: There are many measurement events for handover, the workload will be too heavy if all of them will be studied and evaluated in this study.</w:t>
      </w:r>
    </w:p>
    <w:p>
      <w:pPr>
        <w:spacing w:before="120" w:beforeLines="50" w:after="120" w:line="240" w:lineRule="auto"/>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Proposal 4: </w:t>
      </w:r>
      <w:r>
        <w:rPr>
          <w:rFonts w:hint="eastAsia" w:ascii="Arial" w:hAnsi="Arial" w:cs="Arial"/>
          <w:b/>
          <w:bCs w:val="0"/>
          <w:sz w:val="20"/>
          <w:szCs w:val="20"/>
          <w:highlight w:val="none"/>
          <w:lang w:val="en-US" w:eastAsia="zh-CN"/>
        </w:rPr>
        <w:t xml:space="preserve">RAN2 </w:t>
      </w:r>
      <w:r>
        <w:rPr>
          <w:rFonts w:hint="eastAsia" w:ascii="Arial" w:hAnsi="Arial" w:cs="Arial"/>
          <w:b/>
          <w:bCs w:val="0"/>
          <w:sz w:val="20"/>
          <w:szCs w:val="20"/>
          <w:highlight w:val="none"/>
          <w:lang w:val="en-US" w:eastAsia="zh-CN"/>
        </w:rPr>
        <w:t>study measurement event prediction from</w:t>
      </w:r>
      <w:r>
        <w:rPr>
          <w:rFonts w:hint="eastAsia" w:ascii="Arial" w:hAnsi="Arial" w:cs="Arial"/>
          <w:b/>
          <w:bCs w:val="0"/>
          <w:sz w:val="20"/>
          <w:szCs w:val="20"/>
          <w:highlight w:val="none"/>
          <w:lang w:val="en-US" w:eastAsia="zh-CN"/>
        </w:rPr>
        <w:t xml:space="preserve"> </w:t>
      </w:r>
      <w:r>
        <w:rPr>
          <w:rFonts w:hint="eastAsia" w:ascii="Arial" w:hAnsi="Arial" w:cs="Arial"/>
          <w:b/>
          <w:bCs w:val="0"/>
          <w:sz w:val="20"/>
          <w:szCs w:val="20"/>
          <w:highlight w:val="none"/>
          <w:lang w:val="en-US" w:eastAsia="zh-CN"/>
        </w:rPr>
        <w:t>E</w:t>
      </w:r>
      <w:r>
        <w:rPr>
          <w:rFonts w:hint="eastAsia" w:ascii="Arial" w:hAnsi="Arial" w:cs="Arial"/>
          <w:b/>
          <w:bCs w:val="0"/>
          <w:sz w:val="20"/>
          <w:szCs w:val="20"/>
          <w:highlight w:val="none"/>
          <w:lang w:val="en-US" w:eastAsia="zh-CN"/>
        </w:rPr>
        <w:t>vent A3</w:t>
      </w:r>
      <w:r>
        <w:rPr>
          <w:rFonts w:hint="eastAsia" w:ascii="Arial" w:hAnsi="Arial" w:cs="Arial"/>
          <w:b/>
          <w:bCs w:val="0"/>
          <w:sz w:val="20"/>
          <w:szCs w:val="20"/>
          <w:highlight w:val="none"/>
          <w:lang w:val="en-US" w:eastAsia="zh-CN"/>
        </w:rPr>
        <w:t xml:space="preserve"> and</w:t>
      </w:r>
      <w:r>
        <w:rPr>
          <w:rFonts w:hint="eastAsia" w:ascii="Arial" w:hAnsi="Arial" w:cs="Arial"/>
          <w:b/>
          <w:bCs w:val="0"/>
          <w:sz w:val="20"/>
          <w:szCs w:val="20"/>
          <w:highlight w:val="none"/>
          <w:lang w:val="en-US" w:eastAsia="zh-CN"/>
        </w:rPr>
        <w:t xml:space="preserve"> A5</w:t>
      </w:r>
      <w:r>
        <w:rPr>
          <w:rFonts w:hint="eastAsia" w:ascii="Arial" w:hAnsi="Arial" w:cs="Arial"/>
          <w:b/>
          <w:bCs w:val="0"/>
          <w:sz w:val="20"/>
          <w:szCs w:val="20"/>
          <w:highlight w:val="none"/>
          <w:lang w:val="en-US" w:eastAsia="zh-CN"/>
        </w:rPr>
        <w:t>.</w:t>
      </w:r>
    </w:p>
    <w:p>
      <w:pPr>
        <w:spacing w:before="120" w:beforeLines="50" w:after="120" w:line="240" w:lineRule="auto"/>
        <w:rPr>
          <w:rFonts w:ascii="Arial" w:hAnsi="Arial" w:cs="Arial"/>
          <w:bCs/>
          <w:sz w:val="20"/>
          <w:szCs w:val="20"/>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2.3 Performance metrics/KPIs</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For sub-use case 1, the performance metrics/KPIs defined in RRM measurement prediction can be reused.</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For sub-use case 2, </w:t>
      </w:r>
      <w:r>
        <w:rPr>
          <w:rFonts w:hint="eastAsia" w:ascii="Arial" w:hAnsi="Arial" w:cs="Arial"/>
          <w:sz w:val="20"/>
          <w:szCs w:val="20"/>
          <w:lang w:val="en-US" w:eastAsia="zh-CN"/>
        </w:rPr>
        <w:t xml:space="preserve">the output could be whether the measurement event will be satisfied and if so, the timing info of occurrence, etc. </w:t>
      </w:r>
      <w:r>
        <w:rPr>
          <w:rFonts w:hint="eastAsia" w:ascii="Arial" w:hAnsi="Arial" w:cs="Arial"/>
          <w:b w:val="0"/>
          <w:bCs/>
          <w:sz w:val="20"/>
          <w:szCs w:val="20"/>
          <w:lang w:val="en-US" w:eastAsia="zh-CN"/>
        </w:rPr>
        <w:t xml:space="preserve">Therefore, the prediction accuracy for measurement event and timing info should be further considered. For the prediction accuracy of the timing info, the timing difference (e.g. RMSE) between real time and predicted time could be further studied. </w:t>
      </w:r>
    </w:p>
    <w:p>
      <w:p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Proposal 5: The following performance metrics/KPIs could be considered for measurement event prediction. </w:t>
      </w:r>
    </w:p>
    <w:p>
      <w:pPr>
        <w:spacing w:before="120" w:beforeLines="50" w:after="120" w:line="260" w:lineRule="exact"/>
        <w:ind w:leftChars="200"/>
        <w:rPr>
          <w:rFonts w:hint="default" w:ascii="Arial" w:hAnsi="Arial" w:cs="Arial"/>
          <w:b/>
          <w:bCs w:val="0"/>
          <w:sz w:val="20"/>
          <w:szCs w:val="20"/>
          <w:lang w:val="en-US" w:eastAsia="zh-CN"/>
        </w:rPr>
      </w:pPr>
      <w:r>
        <w:rPr>
          <w:rFonts w:hint="eastAsia" w:ascii="Arial" w:hAnsi="Arial" w:cs="Arial"/>
          <w:b/>
          <w:bCs w:val="0"/>
          <w:sz w:val="20"/>
          <w:szCs w:val="20"/>
          <w:lang w:val="en-US" w:eastAsia="zh-CN"/>
        </w:rPr>
        <w:t>- Performance metrics/KPIs defined for RRM measurement prediction can be reused for sub-use case 1</w:t>
      </w:r>
    </w:p>
    <w:p>
      <w:pPr>
        <w:spacing w:before="120" w:beforeLines="50" w:after="120" w:line="260" w:lineRule="exact"/>
        <w:ind w:leftChars="200"/>
        <w:rPr>
          <w:rFonts w:hint="default" w:ascii="Arial" w:hAnsi="Arial" w:cs="Arial"/>
          <w:b/>
          <w:bCs w:val="0"/>
          <w:sz w:val="20"/>
          <w:szCs w:val="20"/>
          <w:lang w:val="en-US" w:eastAsia="zh-CN"/>
        </w:rPr>
      </w:pPr>
      <w:r>
        <w:rPr>
          <w:rFonts w:hint="eastAsia" w:ascii="Arial" w:hAnsi="Arial" w:cs="Arial"/>
          <w:b/>
          <w:bCs w:val="0"/>
          <w:sz w:val="20"/>
          <w:szCs w:val="20"/>
          <w:lang w:val="en-US" w:eastAsia="zh-CN"/>
        </w:rPr>
        <w:t>- Prediction accuracy for the occurrence of measurement event</w:t>
      </w:r>
    </w:p>
    <w:p>
      <w:pPr>
        <w:spacing w:before="120" w:beforeLines="50" w:after="120" w:line="260" w:lineRule="exact"/>
        <w:ind w:leftChars="200"/>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 Timing difference between timing of actual and predicted measurement event </w:t>
      </w:r>
    </w:p>
    <w:p>
      <w:pPr>
        <w:spacing w:before="120" w:beforeLines="50" w:after="120" w:line="260" w:lineRule="exact"/>
        <w:rPr>
          <w:rFonts w:hint="default" w:ascii="Arial" w:hAnsi="Arial" w:cs="Arial"/>
          <w:b/>
          <w:bCs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measurement event prediction</w:t>
      </w:r>
      <w:r>
        <w:rPr>
          <w:rFonts w:ascii="Arial" w:hAnsi="Arial" w:eastAsia="宋体" w:cs="Arial"/>
          <w:kern w:val="0"/>
          <w:sz w:val="20"/>
          <w:szCs w:val="20"/>
          <w:lang w:val="en-GB" w:eastAsia="en-US"/>
        </w:rPr>
        <w: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bCs/>
          <w:sz w:val="20"/>
          <w:szCs w:val="20"/>
          <w:lang w:val="en-US" w:eastAsia="zh-CN"/>
        </w:rPr>
      </w:pPr>
      <w:r>
        <w:rPr>
          <w:rFonts w:hint="eastAsia" w:ascii="Arial" w:hAnsi="Arial" w:cs="Arial"/>
          <w:b/>
          <w:sz w:val="20"/>
          <w:szCs w:val="20"/>
        </w:rPr>
        <w:t xml:space="preserve">Proposal </w:t>
      </w:r>
      <w:r>
        <w:rPr>
          <w:rFonts w:hint="eastAsia" w:ascii="Arial" w:hAnsi="Arial" w:cs="Arial"/>
          <w:b/>
          <w:sz w:val="20"/>
          <w:szCs w:val="20"/>
          <w:lang w:val="en-US" w:eastAsia="zh-CN"/>
        </w:rPr>
        <w:t>1</w:t>
      </w:r>
      <w:r>
        <w:rPr>
          <w:rFonts w:hint="eastAsia" w:ascii="Arial" w:hAnsi="Arial" w:cs="Arial"/>
          <w:b/>
          <w:sz w:val="20"/>
          <w:szCs w:val="20"/>
        </w:rPr>
        <w:t xml:space="preserve">: </w:t>
      </w:r>
      <w:r>
        <w:rPr>
          <w:rFonts w:hint="eastAsia" w:ascii="Arial" w:hAnsi="Arial" w:cs="Arial"/>
          <w:b/>
          <w:bCs/>
          <w:sz w:val="20"/>
          <w:szCs w:val="20"/>
          <w:lang w:val="en-US" w:eastAsia="zh-CN"/>
        </w:rPr>
        <w:t>RAN2 study the following potential benefits of measurement events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sz w:val="20"/>
          <w:szCs w:val="20"/>
          <w:lang w:val="en-US" w:eastAsia="zh-CN"/>
        </w:rPr>
      </w:pPr>
      <w:r>
        <w:rPr>
          <w:rFonts w:hint="eastAsia" w:ascii="Arial" w:hAnsi="Arial" w:cs="Arial"/>
          <w:b/>
          <w:bCs/>
          <w:sz w:val="20"/>
          <w:szCs w:val="20"/>
          <w:lang w:val="en-US" w:eastAsia="zh-CN"/>
        </w:rPr>
        <w:t>- Reduce the latency of handover preparation by sending the measurement report in advance based on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b/>
          <w:bCs/>
          <w:sz w:val="20"/>
          <w:szCs w:val="21"/>
          <w:lang w:val="en-US" w:eastAsia="zh-CN"/>
        </w:rPr>
      </w:pPr>
      <w:r>
        <w:rPr>
          <w:rFonts w:hint="eastAsia" w:ascii="Arial" w:hAnsi="Arial" w:cs="Arial"/>
          <w:b/>
          <w:bCs/>
          <w:sz w:val="20"/>
          <w:szCs w:val="20"/>
          <w:lang w:val="en-US" w:eastAsia="zh-CN"/>
        </w:rPr>
        <w:t>- Optimize the measurement events configuration based on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Proposal 2: RAN2 further study the potential sub-use cases for </w:t>
      </w:r>
      <w:r>
        <w:rPr>
          <w:rFonts w:hint="eastAsia" w:ascii="Arial" w:hAnsi="Arial" w:cs="Arial"/>
          <w:b/>
          <w:bCs/>
          <w:sz w:val="20"/>
          <w:szCs w:val="21"/>
          <w:lang w:val="en-US" w:eastAsia="zh-CN"/>
        </w:rPr>
        <w:t>measurement event</w:t>
      </w:r>
      <w:r>
        <w:rPr>
          <w:rFonts w:hint="eastAsia" w:ascii="Arial" w:hAnsi="Arial" w:cs="Arial"/>
          <w:b/>
          <w:bCs w:val="0"/>
          <w:sz w:val="20"/>
          <w:szCs w:val="20"/>
          <w:lang w:val="en-US" w:eastAsia="zh-CN"/>
        </w:rPr>
        <w:t xml:space="preserve">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val="0"/>
          <w:sz w:val="20"/>
          <w:szCs w:val="21"/>
          <w:lang w:val="en-US" w:eastAsia="zh-CN"/>
        </w:rPr>
      </w:pPr>
      <w:r>
        <w:rPr>
          <w:rFonts w:hint="eastAsia" w:ascii="Arial" w:hAnsi="Arial" w:cs="Arial"/>
          <w:b/>
          <w:bCs w:val="0"/>
          <w:sz w:val="20"/>
          <w:szCs w:val="21"/>
          <w:lang w:val="en-US" w:eastAsia="zh-CN"/>
        </w:rPr>
        <w:t xml:space="preserve">- Sub-use case 1 (Intermediate way): The UE predicts RRM measurement, and derive </w:t>
      </w:r>
      <w:r>
        <w:rPr>
          <w:rFonts w:hint="eastAsia" w:ascii="Arial" w:hAnsi="Arial" w:cs="Arial"/>
          <w:b/>
          <w:bCs/>
          <w:sz w:val="20"/>
          <w:szCs w:val="21"/>
          <w:lang w:val="en-US" w:eastAsia="zh-CN"/>
        </w:rPr>
        <w:t>measurement event</w:t>
      </w:r>
      <w:r>
        <w:rPr>
          <w:rFonts w:hint="eastAsia" w:ascii="Arial" w:hAnsi="Arial" w:cs="Arial"/>
          <w:b/>
          <w:bCs w:val="0"/>
          <w:sz w:val="20"/>
          <w:szCs w:val="21"/>
          <w:lang w:val="en-US" w:eastAsia="zh-CN"/>
        </w:rPr>
        <w:t xml:space="preserve"> based on predicted RRM measurement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b/>
          <w:bCs w:val="0"/>
          <w:sz w:val="20"/>
          <w:szCs w:val="21"/>
          <w:lang w:val="en-US" w:eastAsia="zh-CN"/>
        </w:rPr>
      </w:pPr>
      <w:r>
        <w:rPr>
          <w:rFonts w:hint="eastAsia" w:ascii="Arial" w:hAnsi="Arial" w:cs="Arial"/>
          <w:b/>
          <w:bCs w:val="0"/>
          <w:sz w:val="20"/>
          <w:szCs w:val="21"/>
          <w:lang w:val="en-US" w:eastAsia="zh-CN"/>
        </w:rPr>
        <w:t xml:space="preserve">- Sub-use case 2 (Direct way): The UE predicts </w:t>
      </w:r>
      <w:r>
        <w:rPr>
          <w:rFonts w:hint="eastAsia" w:ascii="Arial" w:hAnsi="Arial" w:cs="Arial"/>
          <w:b/>
          <w:bCs/>
          <w:sz w:val="20"/>
          <w:szCs w:val="21"/>
          <w:lang w:val="en-US" w:eastAsia="zh-CN"/>
        </w:rPr>
        <w:t>measurement event</w:t>
      </w:r>
      <w:r>
        <w:rPr>
          <w:rFonts w:hint="eastAsia" w:ascii="Arial" w:hAnsi="Arial" w:cs="Arial"/>
          <w:b/>
          <w:bCs w:val="0"/>
          <w:sz w:val="20"/>
          <w:szCs w:val="21"/>
          <w:lang w:val="en-US" w:eastAsia="zh-CN"/>
        </w:rPr>
        <w:t xml:space="preserve"> directly based on input</w:t>
      </w:r>
    </w:p>
    <w:p>
      <w:pPr>
        <w:spacing w:before="120" w:beforeLines="50" w:after="120" w:line="240" w:lineRule="auto"/>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Proposal 3: For sub-use case 1, the </w:t>
      </w:r>
      <w:r>
        <w:rPr>
          <w:rFonts w:hint="eastAsia" w:ascii="Arial" w:hAnsi="Arial" w:cs="Arial"/>
          <w:b/>
          <w:bCs w:val="0"/>
          <w:sz w:val="20"/>
          <w:szCs w:val="20"/>
          <w:highlight w:val="none"/>
          <w:lang w:val="en-US" w:eastAsia="zh-CN"/>
        </w:rPr>
        <w:t xml:space="preserve">studies for RRM measurement prediction can be reused. For sub-use case 2, </w:t>
      </w:r>
      <w:r>
        <w:rPr>
          <w:rFonts w:hint="eastAsia" w:ascii="Arial" w:hAnsi="Arial" w:cs="Arial"/>
          <w:b/>
          <w:bCs w:val="0"/>
          <w:sz w:val="20"/>
          <w:szCs w:val="20"/>
          <w:lang w:val="en-US" w:eastAsia="zh-CN"/>
        </w:rPr>
        <w:t>RAN2 can further study the details of input and output.</w:t>
      </w:r>
    </w:p>
    <w:p>
      <w:pPr>
        <w:numPr>
          <w:ilvl w:val="-1"/>
          <w:numId w:val="0"/>
        </w:numPr>
        <w:spacing w:before="120" w:beforeLines="50" w:after="120" w:line="260" w:lineRule="exact"/>
        <w:ind w:left="0" w:firstLine="0"/>
        <w:rPr>
          <w:rFonts w:hint="eastAsia" w:ascii="Arial" w:hAnsi="Arial" w:cs="Arial"/>
          <w:b/>
          <w:bCs w:val="0"/>
          <w:sz w:val="20"/>
          <w:szCs w:val="20"/>
          <w:highlight w:val="yellow"/>
          <w:lang w:val="en-US" w:eastAsia="zh-CN"/>
        </w:rPr>
      </w:pPr>
      <w:r>
        <w:rPr>
          <w:rFonts w:hint="eastAsia" w:ascii="Arial" w:hAnsi="Arial" w:cs="Arial"/>
          <w:b/>
          <w:bCs w:val="0"/>
          <w:sz w:val="20"/>
          <w:szCs w:val="20"/>
          <w:lang w:val="en-US" w:eastAsia="zh-CN"/>
        </w:rPr>
        <w:t xml:space="preserve">Proposal 4: </w:t>
      </w:r>
      <w:r>
        <w:rPr>
          <w:rFonts w:hint="eastAsia" w:ascii="Arial" w:hAnsi="Arial" w:cs="Arial"/>
          <w:b/>
          <w:bCs w:val="0"/>
          <w:sz w:val="20"/>
          <w:szCs w:val="20"/>
          <w:highlight w:val="none"/>
          <w:lang w:val="en-US" w:eastAsia="zh-CN"/>
        </w:rPr>
        <w:t>RAN2 study measurement event prediction from Event A3 and A5.</w:t>
      </w:r>
    </w:p>
    <w:p>
      <w:p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Proposal 5: The following performance metrics/KPIs could be considered for measurement event prediction. </w:t>
      </w:r>
    </w:p>
    <w:p>
      <w:pPr>
        <w:spacing w:before="120" w:beforeLines="50" w:after="120" w:line="260" w:lineRule="exact"/>
        <w:ind w:leftChars="200"/>
        <w:rPr>
          <w:rFonts w:hint="default" w:ascii="Arial" w:hAnsi="Arial" w:cs="Arial"/>
          <w:b/>
          <w:bCs w:val="0"/>
          <w:sz w:val="20"/>
          <w:szCs w:val="20"/>
          <w:lang w:val="en-US" w:eastAsia="zh-CN"/>
        </w:rPr>
      </w:pPr>
      <w:r>
        <w:rPr>
          <w:rFonts w:hint="eastAsia" w:ascii="Arial" w:hAnsi="Arial" w:cs="Arial"/>
          <w:b/>
          <w:bCs w:val="0"/>
          <w:sz w:val="20"/>
          <w:szCs w:val="20"/>
          <w:lang w:val="en-US" w:eastAsia="zh-CN"/>
        </w:rPr>
        <w:t>- Performance metrics/KPIs defined for RRM measurement prediction can be reused for sub-use case 1</w:t>
      </w:r>
    </w:p>
    <w:p>
      <w:pPr>
        <w:spacing w:before="120" w:beforeLines="50" w:after="120" w:line="260" w:lineRule="exact"/>
        <w:ind w:leftChars="200"/>
        <w:rPr>
          <w:rFonts w:hint="default" w:ascii="Arial" w:hAnsi="Arial" w:cs="Arial"/>
          <w:b/>
          <w:bCs w:val="0"/>
          <w:sz w:val="20"/>
          <w:szCs w:val="20"/>
          <w:lang w:val="en-US" w:eastAsia="zh-CN"/>
        </w:rPr>
      </w:pPr>
      <w:r>
        <w:rPr>
          <w:rFonts w:hint="eastAsia" w:ascii="Arial" w:hAnsi="Arial" w:cs="Arial"/>
          <w:b/>
          <w:bCs w:val="0"/>
          <w:sz w:val="20"/>
          <w:szCs w:val="20"/>
          <w:lang w:val="en-US" w:eastAsia="zh-CN"/>
        </w:rPr>
        <w:t>- Prediction accuracy for the occurrence of measurement event</w:t>
      </w:r>
    </w:p>
    <w:p>
      <w:pPr>
        <w:numPr>
          <w:ilvl w:val="-1"/>
          <w:numId w:val="0"/>
        </w:numPr>
        <w:spacing w:before="120" w:beforeLines="50" w:after="120" w:line="260" w:lineRule="exact"/>
        <w:ind w:left="420" w:leftChars="200" w:firstLine="0"/>
        <w:rPr>
          <w:rFonts w:ascii="Arial" w:hAnsi="Arial" w:cs="Arial"/>
          <w:b/>
          <w:sz w:val="20"/>
          <w:szCs w:val="20"/>
        </w:rPr>
      </w:pPr>
      <w:r>
        <w:rPr>
          <w:rFonts w:hint="eastAsia" w:ascii="Arial" w:hAnsi="Arial" w:cs="Arial"/>
          <w:b/>
          <w:bCs w:val="0"/>
          <w:sz w:val="20"/>
          <w:szCs w:val="20"/>
          <w:lang w:val="en-US" w:eastAsia="zh-CN"/>
        </w:rPr>
        <w:t xml:space="preserve">- Timing difference between timing of actual and predicted measurement event </w:t>
      </w:r>
      <w:r>
        <w:rPr>
          <w:rFonts w:hint="eastAsia" w:ascii="Arial" w:hAnsi="Arial" w:cs="Arial"/>
          <w:b/>
          <w:sz w:val="20"/>
          <w:szCs w:val="20"/>
        </w:rPr>
        <w:t xml:space="preserve"> </w:t>
      </w:r>
    </w:p>
    <w:p>
      <w:pPr>
        <w:spacing w:before="120" w:beforeLines="50" w:after="120" w:line="260" w:lineRule="exact"/>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RP-234039 New WID on Artificial Intelligence (AI)/Machine Learning (ML) for NR Air Interface</w:t>
      </w:r>
    </w:p>
    <w:p>
      <w:pPr>
        <w:widowControl/>
        <w:numPr>
          <w:ilvl w:val="0"/>
          <w:numId w:val="8"/>
        </w:numPr>
        <w:overflowPunct w:val="0"/>
        <w:autoSpaceDE w:val="0"/>
        <w:autoSpaceDN w:val="0"/>
        <w:adjustRightInd w:val="0"/>
        <w:spacing w:after="180"/>
        <w:jc w:val="left"/>
        <w:textAlignment w:val="baseline"/>
        <w:rPr>
          <w:rFonts w:hint="default" w:ascii="Arial" w:hAnsi="Arial" w:eastAsia="宋体" w:cs="Arial"/>
          <w:kern w:val="0"/>
          <w:sz w:val="20"/>
          <w:szCs w:val="20"/>
          <w:lang w:val="en-US"/>
        </w:rPr>
      </w:pPr>
      <w:r>
        <w:rPr>
          <w:rFonts w:hint="eastAsia" w:ascii="Arial" w:hAnsi="Arial" w:eastAsia="宋体" w:cs="Arial"/>
          <w:kern w:val="0"/>
          <w:sz w:val="20"/>
          <w:szCs w:val="20"/>
          <w:lang w:val="en-US" w:eastAsia="zh-CN"/>
        </w:rPr>
        <w:t>TS 38.331 NR; Radio Resource Control (RRC) protocol specification</w:t>
      </w:r>
    </w:p>
    <w:p>
      <w:pPr>
        <w:widowControl/>
        <w:numPr>
          <w:ilvl w:val="0"/>
          <w:numId w:val="0"/>
        </w:numPr>
        <w:tabs>
          <w:tab w:val="left" w:pos="360"/>
        </w:tabs>
        <w:overflowPunct w:val="0"/>
        <w:autoSpaceDE w:val="0"/>
        <w:autoSpaceDN w:val="0"/>
        <w:adjustRightInd w:val="0"/>
        <w:spacing w:after="180"/>
        <w:jc w:val="left"/>
        <w:textAlignment w:val="baseline"/>
        <w:rPr>
          <w:rFonts w:ascii="Arial" w:hAnsi="Arial" w:eastAsia="宋体" w:cs="Arial"/>
          <w:kern w:val="0"/>
          <w:sz w:val="20"/>
          <w:szCs w:val="20"/>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7"/>
  </w:num>
  <w:num w:numId="4">
    <w:abstractNumId w:val="6"/>
  </w:num>
  <w:num w:numId="5">
    <w:abstractNumId w:val="5"/>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4032B"/>
    <w:rsid w:val="01840FB9"/>
    <w:rsid w:val="01A0498E"/>
    <w:rsid w:val="01A574CF"/>
    <w:rsid w:val="01A60C1B"/>
    <w:rsid w:val="01E966BF"/>
    <w:rsid w:val="02395107"/>
    <w:rsid w:val="02630C48"/>
    <w:rsid w:val="029B08C6"/>
    <w:rsid w:val="02A424C3"/>
    <w:rsid w:val="02B71025"/>
    <w:rsid w:val="02FA6D08"/>
    <w:rsid w:val="0300491B"/>
    <w:rsid w:val="030E32B0"/>
    <w:rsid w:val="03190295"/>
    <w:rsid w:val="038A1F16"/>
    <w:rsid w:val="03ED2655"/>
    <w:rsid w:val="041A101A"/>
    <w:rsid w:val="042468D3"/>
    <w:rsid w:val="04616861"/>
    <w:rsid w:val="04861CA0"/>
    <w:rsid w:val="04A12BB9"/>
    <w:rsid w:val="04A37BF0"/>
    <w:rsid w:val="04F25DBA"/>
    <w:rsid w:val="04F46CEE"/>
    <w:rsid w:val="04FD5053"/>
    <w:rsid w:val="054134AD"/>
    <w:rsid w:val="05551670"/>
    <w:rsid w:val="056C27CB"/>
    <w:rsid w:val="0571089C"/>
    <w:rsid w:val="058844D8"/>
    <w:rsid w:val="05AD7C3D"/>
    <w:rsid w:val="05B81468"/>
    <w:rsid w:val="05B92B80"/>
    <w:rsid w:val="05CC288F"/>
    <w:rsid w:val="05FB3716"/>
    <w:rsid w:val="061355E6"/>
    <w:rsid w:val="069766D8"/>
    <w:rsid w:val="06AC66F5"/>
    <w:rsid w:val="06EA3869"/>
    <w:rsid w:val="06EB297F"/>
    <w:rsid w:val="06F44776"/>
    <w:rsid w:val="071830B3"/>
    <w:rsid w:val="07232B13"/>
    <w:rsid w:val="072E12A5"/>
    <w:rsid w:val="072E4FA9"/>
    <w:rsid w:val="07554650"/>
    <w:rsid w:val="075F5104"/>
    <w:rsid w:val="079F7BD5"/>
    <w:rsid w:val="07AF7E3A"/>
    <w:rsid w:val="07CC0B7F"/>
    <w:rsid w:val="07F07408"/>
    <w:rsid w:val="080B0E60"/>
    <w:rsid w:val="08241B14"/>
    <w:rsid w:val="08346E32"/>
    <w:rsid w:val="084F3982"/>
    <w:rsid w:val="0870581B"/>
    <w:rsid w:val="08A06BD3"/>
    <w:rsid w:val="08BD2F14"/>
    <w:rsid w:val="08D80E0C"/>
    <w:rsid w:val="09085B92"/>
    <w:rsid w:val="093223D0"/>
    <w:rsid w:val="09414F75"/>
    <w:rsid w:val="094470AB"/>
    <w:rsid w:val="095A6DFD"/>
    <w:rsid w:val="09926330"/>
    <w:rsid w:val="09AD7F7C"/>
    <w:rsid w:val="09B81624"/>
    <w:rsid w:val="09B92009"/>
    <w:rsid w:val="09C411E9"/>
    <w:rsid w:val="09D63199"/>
    <w:rsid w:val="09F124DC"/>
    <w:rsid w:val="09F8719E"/>
    <w:rsid w:val="0A0C359D"/>
    <w:rsid w:val="0A103B20"/>
    <w:rsid w:val="0A1469F1"/>
    <w:rsid w:val="0A173D8A"/>
    <w:rsid w:val="0A4707FD"/>
    <w:rsid w:val="0AA35EAE"/>
    <w:rsid w:val="0AAC7074"/>
    <w:rsid w:val="0AB622D1"/>
    <w:rsid w:val="0ABA01A9"/>
    <w:rsid w:val="0ADE2342"/>
    <w:rsid w:val="0AE21792"/>
    <w:rsid w:val="0AF33383"/>
    <w:rsid w:val="0B054A96"/>
    <w:rsid w:val="0B0E2B4A"/>
    <w:rsid w:val="0B11078A"/>
    <w:rsid w:val="0B7E67EB"/>
    <w:rsid w:val="0B96175E"/>
    <w:rsid w:val="0BB81E48"/>
    <w:rsid w:val="0BF550E1"/>
    <w:rsid w:val="0C145134"/>
    <w:rsid w:val="0C202296"/>
    <w:rsid w:val="0C415301"/>
    <w:rsid w:val="0C4853AF"/>
    <w:rsid w:val="0C5466CF"/>
    <w:rsid w:val="0C6C1EE0"/>
    <w:rsid w:val="0C7F3E15"/>
    <w:rsid w:val="0CC05689"/>
    <w:rsid w:val="0CD5224C"/>
    <w:rsid w:val="0CE47224"/>
    <w:rsid w:val="0CED527E"/>
    <w:rsid w:val="0D09234F"/>
    <w:rsid w:val="0D362C45"/>
    <w:rsid w:val="0D711EBE"/>
    <w:rsid w:val="0D771EA7"/>
    <w:rsid w:val="0DA728AC"/>
    <w:rsid w:val="0DAD175B"/>
    <w:rsid w:val="0DE11C21"/>
    <w:rsid w:val="0DE14E46"/>
    <w:rsid w:val="0E0422AA"/>
    <w:rsid w:val="0E3D4FDF"/>
    <w:rsid w:val="0E4A09D7"/>
    <w:rsid w:val="0E56201A"/>
    <w:rsid w:val="0E6C0832"/>
    <w:rsid w:val="0E6E3C34"/>
    <w:rsid w:val="0EAF327B"/>
    <w:rsid w:val="0F1D748A"/>
    <w:rsid w:val="0F4E079B"/>
    <w:rsid w:val="0F732504"/>
    <w:rsid w:val="0F782620"/>
    <w:rsid w:val="0F8A7784"/>
    <w:rsid w:val="0F8C51E0"/>
    <w:rsid w:val="0FC803F4"/>
    <w:rsid w:val="0FCA4E7F"/>
    <w:rsid w:val="10090A65"/>
    <w:rsid w:val="108B22CD"/>
    <w:rsid w:val="10AC6F3F"/>
    <w:rsid w:val="10C31C47"/>
    <w:rsid w:val="10C64AE7"/>
    <w:rsid w:val="10F04644"/>
    <w:rsid w:val="110171B2"/>
    <w:rsid w:val="11171B9A"/>
    <w:rsid w:val="111F30A5"/>
    <w:rsid w:val="11900A86"/>
    <w:rsid w:val="119B1CE5"/>
    <w:rsid w:val="11AD6655"/>
    <w:rsid w:val="11D361EC"/>
    <w:rsid w:val="11D44799"/>
    <w:rsid w:val="11D65F4E"/>
    <w:rsid w:val="11E4251C"/>
    <w:rsid w:val="1236016D"/>
    <w:rsid w:val="123900DB"/>
    <w:rsid w:val="123B6254"/>
    <w:rsid w:val="12470CD9"/>
    <w:rsid w:val="125B745E"/>
    <w:rsid w:val="12934DEA"/>
    <w:rsid w:val="12A73823"/>
    <w:rsid w:val="12B04029"/>
    <w:rsid w:val="12BD5E5F"/>
    <w:rsid w:val="12DA4242"/>
    <w:rsid w:val="130A48C3"/>
    <w:rsid w:val="132303DD"/>
    <w:rsid w:val="1331496D"/>
    <w:rsid w:val="13392934"/>
    <w:rsid w:val="13583AE1"/>
    <w:rsid w:val="1358580E"/>
    <w:rsid w:val="135A6265"/>
    <w:rsid w:val="136A73BB"/>
    <w:rsid w:val="139327D8"/>
    <w:rsid w:val="13A46671"/>
    <w:rsid w:val="13D36FA4"/>
    <w:rsid w:val="14256000"/>
    <w:rsid w:val="1466786F"/>
    <w:rsid w:val="149733D6"/>
    <w:rsid w:val="14A668A4"/>
    <w:rsid w:val="14A9029F"/>
    <w:rsid w:val="14B83431"/>
    <w:rsid w:val="14E836E8"/>
    <w:rsid w:val="14F142C3"/>
    <w:rsid w:val="150B6FBF"/>
    <w:rsid w:val="152B1104"/>
    <w:rsid w:val="154A66B0"/>
    <w:rsid w:val="159C7EDD"/>
    <w:rsid w:val="15BE553B"/>
    <w:rsid w:val="15E03E14"/>
    <w:rsid w:val="15E4550B"/>
    <w:rsid w:val="15E9482E"/>
    <w:rsid w:val="161147C5"/>
    <w:rsid w:val="16327956"/>
    <w:rsid w:val="166A7A3B"/>
    <w:rsid w:val="16725680"/>
    <w:rsid w:val="168B0BBD"/>
    <w:rsid w:val="16A3322F"/>
    <w:rsid w:val="16C120B7"/>
    <w:rsid w:val="16C47023"/>
    <w:rsid w:val="16CD3708"/>
    <w:rsid w:val="16D51B5B"/>
    <w:rsid w:val="16D7712F"/>
    <w:rsid w:val="17916AE6"/>
    <w:rsid w:val="179D12F3"/>
    <w:rsid w:val="17A858E4"/>
    <w:rsid w:val="17AE49E6"/>
    <w:rsid w:val="17CD5A7B"/>
    <w:rsid w:val="17E31439"/>
    <w:rsid w:val="18035F6A"/>
    <w:rsid w:val="185C58E1"/>
    <w:rsid w:val="186366A3"/>
    <w:rsid w:val="187A66B9"/>
    <w:rsid w:val="1881324F"/>
    <w:rsid w:val="18A246AF"/>
    <w:rsid w:val="18F32680"/>
    <w:rsid w:val="18F72FDD"/>
    <w:rsid w:val="18F80417"/>
    <w:rsid w:val="18FE1274"/>
    <w:rsid w:val="192E5438"/>
    <w:rsid w:val="192F165F"/>
    <w:rsid w:val="19547778"/>
    <w:rsid w:val="195E3B99"/>
    <w:rsid w:val="196E4FB3"/>
    <w:rsid w:val="19C51AEA"/>
    <w:rsid w:val="19CE1BFF"/>
    <w:rsid w:val="1A1C0B7B"/>
    <w:rsid w:val="1A40430B"/>
    <w:rsid w:val="1A9A126F"/>
    <w:rsid w:val="1AA4601E"/>
    <w:rsid w:val="1ABB3621"/>
    <w:rsid w:val="1ABF7C53"/>
    <w:rsid w:val="1ADE6206"/>
    <w:rsid w:val="1AE7452F"/>
    <w:rsid w:val="1B073464"/>
    <w:rsid w:val="1B2A626C"/>
    <w:rsid w:val="1B5E2B2B"/>
    <w:rsid w:val="1BB22919"/>
    <w:rsid w:val="1BF91505"/>
    <w:rsid w:val="1C064DE2"/>
    <w:rsid w:val="1C263D41"/>
    <w:rsid w:val="1C6673DB"/>
    <w:rsid w:val="1C6A1BB2"/>
    <w:rsid w:val="1C726F5B"/>
    <w:rsid w:val="1CC529AF"/>
    <w:rsid w:val="1CC914E2"/>
    <w:rsid w:val="1D031FA5"/>
    <w:rsid w:val="1D700D25"/>
    <w:rsid w:val="1D9948E6"/>
    <w:rsid w:val="1DA1677A"/>
    <w:rsid w:val="1DA90A2F"/>
    <w:rsid w:val="1DE55E1B"/>
    <w:rsid w:val="1DEA2636"/>
    <w:rsid w:val="1E015BFF"/>
    <w:rsid w:val="1E261FEC"/>
    <w:rsid w:val="1E3E032D"/>
    <w:rsid w:val="1E4C7D38"/>
    <w:rsid w:val="1E5D014C"/>
    <w:rsid w:val="1E625159"/>
    <w:rsid w:val="1E6C052F"/>
    <w:rsid w:val="1E8017FF"/>
    <w:rsid w:val="1EB31B66"/>
    <w:rsid w:val="1EB529F8"/>
    <w:rsid w:val="1EF17AB3"/>
    <w:rsid w:val="1F1F4D17"/>
    <w:rsid w:val="1F7E629B"/>
    <w:rsid w:val="1F8A3BD5"/>
    <w:rsid w:val="1FE63CE8"/>
    <w:rsid w:val="20254C14"/>
    <w:rsid w:val="20524CE4"/>
    <w:rsid w:val="205E7BE3"/>
    <w:rsid w:val="20710706"/>
    <w:rsid w:val="208A18F1"/>
    <w:rsid w:val="208D63E6"/>
    <w:rsid w:val="20A506BA"/>
    <w:rsid w:val="20F63843"/>
    <w:rsid w:val="20FE18B0"/>
    <w:rsid w:val="21376EA4"/>
    <w:rsid w:val="21513A3C"/>
    <w:rsid w:val="215A766D"/>
    <w:rsid w:val="21667FDB"/>
    <w:rsid w:val="219C1508"/>
    <w:rsid w:val="21E005A4"/>
    <w:rsid w:val="21FA5606"/>
    <w:rsid w:val="22046DF1"/>
    <w:rsid w:val="220A4513"/>
    <w:rsid w:val="225124B4"/>
    <w:rsid w:val="229575D0"/>
    <w:rsid w:val="22965A26"/>
    <w:rsid w:val="22B32E1B"/>
    <w:rsid w:val="22CD6AE0"/>
    <w:rsid w:val="23365998"/>
    <w:rsid w:val="236906A5"/>
    <w:rsid w:val="2375481A"/>
    <w:rsid w:val="23797368"/>
    <w:rsid w:val="23822B30"/>
    <w:rsid w:val="23B828A0"/>
    <w:rsid w:val="23EE120B"/>
    <w:rsid w:val="2403705B"/>
    <w:rsid w:val="24110B80"/>
    <w:rsid w:val="24572D18"/>
    <w:rsid w:val="245A7C91"/>
    <w:rsid w:val="249D5D77"/>
    <w:rsid w:val="24B445FB"/>
    <w:rsid w:val="24BD6504"/>
    <w:rsid w:val="24C74F14"/>
    <w:rsid w:val="24D708E2"/>
    <w:rsid w:val="24FB6730"/>
    <w:rsid w:val="251B6F7E"/>
    <w:rsid w:val="252515BC"/>
    <w:rsid w:val="25787665"/>
    <w:rsid w:val="25815EBA"/>
    <w:rsid w:val="258B4FC9"/>
    <w:rsid w:val="25F5013E"/>
    <w:rsid w:val="2618546A"/>
    <w:rsid w:val="262A1C6D"/>
    <w:rsid w:val="262F627F"/>
    <w:rsid w:val="26315BFD"/>
    <w:rsid w:val="264A4407"/>
    <w:rsid w:val="26537397"/>
    <w:rsid w:val="26590269"/>
    <w:rsid w:val="2660154C"/>
    <w:rsid w:val="26A276B5"/>
    <w:rsid w:val="26BA68C7"/>
    <w:rsid w:val="26BB1824"/>
    <w:rsid w:val="26BF5E40"/>
    <w:rsid w:val="26F237CD"/>
    <w:rsid w:val="2719754A"/>
    <w:rsid w:val="2725126B"/>
    <w:rsid w:val="27375D6E"/>
    <w:rsid w:val="274C2D2B"/>
    <w:rsid w:val="27704000"/>
    <w:rsid w:val="2796594E"/>
    <w:rsid w:val="27B135A1"/>
    <w:rsid w:val="27BC024E"/>
    <w:rsid w:val="27BE3E87"/>
    <w:rsid w:val="27C17045"/>
    <w:rsid w:val="27C35275"/>
    <w:rsid w:val="283167B4"/>
    <w:rsid w:val="28682A73"/>
    <w:rsid w:val="289D577F"/>
    <w:rsid w:val="28E404D9"/>
    <w:rsid w:val="28F4407D"/>
    <w:rsid w:val="291138C7"/>
    <w:rsid w:val="29120E51"/>
    <w:rsid w:val="295A50C3"/>
    <w:rsid w:val="29733D9F"/>
    <w:rsid w:val="29A61468"/>
    <w:rsid w:val="29BE37C1"/>
    <w:rsid w:val="2A5039D7"/>
    <w:rsid w:val="2A665688"/>
    <w:rsid w:val="2A7D74CC"/>
    <w:rsid w:val="2A7F4563"/>
    <w:rsid w:val="2B3F4C1F"/>
    <w:rsid w:val="2B4D1216"/>
    <w:rsid w:val="2B58393A"/>
    <w:rsid w:val="2B8030A5"/>
    <w:rsid w:val="2BB761AE"/>
    <w:rsid w:val="2BC37D39"/>
    <w:rsid w:val="2BE06712"/>
    <w:rsid w:val="2C095760"/>
    <w:rsid w:val="2C0D429C"/>
    <w:rsid w:val="2C6E581C"/>
    <w:rsid w:val="2C7A7AA0"/>
    <w:rsid w:val="2CA30589"/>
    <w:rsid w:val="2CC9787F"/>
    <w:rsid w:val="2CF77552"/>
    <w:rsid w:val="2D146D2C"/>
    <w:rsid w:val="2D155FB3"/>
    <w:rsid w:val="2D3B7B03"/>
    <w:rsid w:val="2D440581"/>
    <w:rsid w:val="2D470656"/>
    <w:rsid w:val="2D493ADC"/>
    <w:rsid w:val="2D55451C"/>
    <w:rsid w:val="2D5B158F"/>
    <w:rsid w:val="2D9B2285"/>
    <w:rsid w:val="2DD51C18"/>
    <w:rsid w:val="2DF144D1"/>
    <w:rsid w:val="2DFB6036"/>
    <w:rsid w:val="2E150451"/>
    <w:rsid w:val="2E3472AB"/>
    <w:rsid w:val="2E3D031C"/>
    <w:rsid w:val="2EA86437"/>
    <w:rsid w:val="2EB103B1"/>
    <w:rsid w:val="2F0F71E6"/>
    <w:rsid w:val="2F383A5C"/>
    <w:rsid w:val="2F4559EE"/>
    <w:rsid w:val="2F59457E"/>
    <w:rsid w:val="2F742945"/>
    <w:rsid w:val="2F9D4B14"/>
    <w:rsid w:val="2FBE43F5"/>
    <w:rsid w:val="2FC53C32"/>
    <w:rsid w:val="2FC55B9D"/>
    <w:rsid w:val="2FD157C7"/>
    <w:rsid w:val="3008444D"/>
    <w:rsid w:val="300A115E"/>
    <w:rsid w:val="301241C3"/>
    <w:rsid w:val="30296BB8"/>
    <w:rsid w:val="309D4655"/>
    <w:rsid w:val="30A27A0B"/>
    <w:rsid w:val="30C026F3"/>
    <w:rsid w:val="315423FA"/>
    <w:rsid w:val="315B7AEC"/>
    <w:rsid w:val="31710789"/>
    <w:rsid w:val="317503B0"/>
    <w:rsid w:val="31AC0A51"/>
    <w:rsid w:val="31D53C4D"/>
    <w:rsid w:val="31F71A11"/>
    <w:rsid w:val="31FE12AB"/>
    <w:rsid w:val="31FF4890"/>
    <w:rsid w:val="320E382B"/>
    <w:rsid w:val="321A185A"/>
    <w:rsid w:val="321B4537"/>
    <w:rsid w:val="32513A45"/>
    <w:rsid w:val="32B50B2C"/>
    <w:rsid w:val="32C84DFE"/>
    <w:rsid w:val="32FA3DAF"/>
    <w:rsid w:val="332D5F33"/>
    <w:rsid w:val="3337740D"/>
    <w:rsid w:val="3358616F"/>
    <w:rsid w:val="337F1035"/>
    <w:rsid w:val="33805DA1"/>
    <w:rsid w:val="338C56E4"/>
    <w:rsid w:val="33934B2E"/>
    <w:rsid w:val="339441CF"/>
    <w:rsid w:val="33C37075"/>
    <w:rsid w:val="34062C68"/>
    <w:rsid w:val="341C738A"/>
    <w:rsid w:val="341E063D"/>
    <w:rsid w:val="343A03D8"/>
    <w:rsid w:val="348F0A80"/>
    <w:rsid w:val="34A26022"/>
    <w:rsid w:val="34B0567F"/>
    <w:rsid w:val="34B443F6"/>
    <w:rsid w:val="34E12F4E"/>
    <w:rsid w:val="34EB31AA"/>
    <w:rsid w:val="34EC41DF"/>
    <w:rsid w:val="35040A33"/>
    <w:rsid w:val="351A24AD"/>
    <w:rsid w:val="35273121"/>
    <w:rsid w:val="354E123E"/>
    <w:rsid w:val="354F2AD2"/>
    <w:rsid w:val="356D6A12"/>
    <w:rsid w:val="35B50461"/>
    <w:rsid w:val="35C36B07"/>
    <w:rsid w:val="35C60438"/>
    <w:rsid w:val="360D6591"/>
    <w:rsid w:val="361F2C5E"/>
    <w:rsid w:val="363976F7"/>
    <w:rsid w:val="365437D6"/>
    <w:rsid w:val="36681B72"/>
    <w:rsid w:val="366E68DA"/>
    <w:rsid w:val="36BD137C"/>
    <w:rsid w:val="36E02E58"/>
    <w:rsid w:val="36F84B57"/>
    <w:rsid w:val="3751494E"/>
    <w:rsid w:val="375A24EA"/>
    <w:rsid w:val="37757EA8"/>
    <w:rsid w:val="3784494C"/>
    <w:rsid w:val="37BC00E4"/>
    <w:rsid w:val="37C859C7"/>
    <w:rsid w:val="37D62F7A"/>
    <w:rsid w:val="37E30435"/>
    <w:rsid w:val="37E40AE8"/>
    <w:rsid w:val="3801173C"/>
    <w:rsid w:val="38060F79"/>
    <w:rsid w:val="3839587C"/>
    <w:rsid w:val="384E5649"/>
    <w:rsid w:val="38746ABC"/>
    <w:rsid w:val="38761BD7"/>
    <w:rsid w:val="38AE69D5"/>
    <w:rsid w:val="38FC0060"/>
    <w:rsid w:val="38FC32F5"/>
    <w:rsid w:val="38FD17EE"/>
    <w:rsid w:val="39030A9D"/>
    <w:rsid w:val="39113643"/>
    <w:rsid w:val="396866FD"/>
    <w:rsid w:val="397E03C2"/>
    <w:rsid w:val="39BB3AC3"/>
    <w:rsid w:val="39DF043A"/>
    <w:rsid w:val="39FE32B3"/>
    <w:rsid w:val="39FF59A7"/>
    <w:rsid w:val="3A070DC0"/>
    <w:rsid w:val="3A2065C7"/>
    <w:rsid w:val="3A213653"/>
    <w:rsid w:val="3A34378D"/>
    <w:rsid w:val="3A36160B"/>
    <w:rsid w:val="3A5F16F2"/>
    <w:rsid w:val="3A6F51D2"/>
    <w:rsid w:val="3A903A88"/>
    <w:rsid w:val="3AA50AA5"/>
    <w:rsid w:val="3AC820F6"/>
    <w:rsid w:val="3AEB3C21"/>
    <w:rsid w:val="3AFB6043"/>
    <w:rsid w:val="3B041E40"/>
    <w:rsid w:val="3B191C47"/>
    <w:rsid w:val="3B205806"/>
    <w:rsid w:val="3B295FAA"/>
    <w:rsid w:val="3B5C6A72"/>
    <w:rsid w:val="3B7F2CAA"/>
    <w:rsid w:val="3C1A13DF"/>
    <w:rsid w:val="3C3A4FEB"/>
    <w:rsid w:val="3C4F0EBB"/>
    <w:rsid w:val="3C635FA0"/>
    <w:rsid w:val="3C8659AE"/>
    <w:rsid w:val="3CA66A58"/>
    <w:rsid w:val="3CBE3C7C"/>
    <w:rsid w:val="3CD165D4"/>
    <w:rsid w:val="3CF316DB"/>
    <w:rsid w:val="3D1617AD"/>
    <w:rsid w:val="3D39355A"/>
    <w:rsid w:val="3D3C44DD"/>
    <w:rsid w:val="3D5001A7"/>
    <w:rsid w:val="3D5B3EF0"/>
    <w:rsid w:val="3D5C58DF"/>
    <w:rsid w:val="3D9214B7"/>
    <w:rsid w:val="3DB23DD9"/>
    <w:rsid w:val="3DEE576C"/>
    <w:rsid w:val="3DF57F08"/>
    <w:rsid w:val="3E143052"/>
    <w:rsid w:val="3E390C78"/>
    <w:rsid w:val="3E500D27"/>
    <w:rsid w:val="3E573ADE"/>
    <w:rsid w:val="3EA55E90"/>
    <w:rsid w:val="3ECD0998"/>
    <w:rsid w:val="3ED508CA"/>
    <w:rsid w:val="3F1109BC"/>
    <w:rsid w:val="3F1B7587"/>
    <w:rsid w:val="3F805B16"/>
    <w:rsid w:val="3FA42170"/>
    <w:rsid w:val="3FAF36DB"/>
    <w:rsid w:val="405759DA"/>
    <w:rsid w:val="406A14B3"/>
    <w:rsid w:val="407C15D8"/>
    <w:rsid w:val="408B597B"/>
    <w:rsid w:val="409D1B0D"/>
    <w:rsid w:val="40F97CA8"/>
    <w:rsid w:val="41171B69"/>
    <w:rsid w:val="41415E9E"/>
    <w:rsid w:val="41883A8E"/>
    <w:rsid w:val="418A60B4"/>
    <w:rsid w:val="41B370D6"/>
    <w:rsid w:val="42212582"/>
    <w:rsid w:val="42625CA5"/>
    <w:rsid w:val="42755843"/>
    <w:rsid w:val="42794CE2"/>
    <w:rsid w:val="428704C4"/>
    <w:rsid w:val="42C70708"/>
    <w:rsid w:val="42E0254C"/>
    <w:rsid w:val="42F40D67"/>
    <w:rsid w:val="43066FF8"/>
    <w:rsid w:val="43146FF6"/>
    <w:rsid w:val="433204F8"/>
    <w:rsid w:val="433C3AAA"/>
    <w:rsid w:val="4345322A"/>
    <w:rsid w:val="434D3A87"/>
    <w:rsid w:val="43600192"/>
    <w:rsid w:val="43617533"/>
    <w:rsid w:val="43964A1C"/>
    <w:rsid w:val="43E22B61"/>
    <w:rsid w:val="44031DB9"/>
    <w:rsid w:val="447943E7"/>
    <w:rsid w:val="44B41FCD"/>
    <w:rsid w:val="44F46625"/>
    <w:rsid w:val="44F52628"/>
    <w:rsid w:val="454C191C"/>
    <w:rsid w:val="4556652D"/>
    <w:rsid w:val="45861251"/>
    <w:rsid w:val="459911EE"/>
    <w:rsid w:val="4599227F"/>
    <w:rsid w:val="45BE024B"/>
    <w:rsid w:val="45BE2AD4"/>
    <w:rsid w:val="45C2437E"/>
    <w:rsid w:val="45EA2721"/>
    <w:rsid w:val="460A0745"/>
    <w:rsid w:val="46300B95"/>
    <w:rsid w:val="463A3C1C"/>
    <w:rsid w:val="466E6ADA"/>
    <w:rsid w:val="46776100"/>
    <w:rsid w:val="4699240B"/>
    <w:rsid w:val="46B7014A"/>
    <w:rsid w:val="46DD4977"/>
    <w:rsid w:val="46DE0D2C"/>
    <w:rsid w:val="46EC22D2"/>
    <w:rsid w:val="46ED5CA5"/>
    <w:rsid w:val="46FE4C6E"/>
    <w:rsid w:val="47062AB6"/>
    <w:rsid w:val="475A659D"/>
    <w:rsid w:val="476207DA"/>
    <w:rsid w:val="47727F60"/>
    <w:rsid w:val="47944B93"/>
    <w:rsid w:val="47B14EAE"/>
    <w:rsid w:val="47C00B3A"/>
    <w:rsid w:val="47C04462"/>
    <w:rsid w:val="47C96CD1"/>
    <w:rsid w:val="47D439C1"/>
    <w:rsid w:val="47D84F8A"/>
    <w:rsid w:val="47DB6ABB"/>
    <w:rsid w:val="48006D6A"/>
    <w:rsid w:val="48083448"/>
    <w:rsid w:val="48460696"/>
    <w:rsid w:val="48690DD9"/>
    <w:rsid w:val="486B54EB"/>
    <w:rsid w:val="4887121F"/>
    <w:rsid w:val="48BB1493"/>
    <w:rsid w:val="48F702B1"/>
    <w:rsid w:val="49043E31"/>
    <w:rsid w:val="492910E2"/>
    <w:rsid w:val="492E569F"/>
    <w:rsid w:val="494B446A"/>
    <w:rsid w:val="494E1C27"/>
    <w:rsid w:val="497A40B6"/>
    <w:rsid w:val="49A36AB0"/>
    <w:rsid w:val="49A97E85"/>
    <w:rsid w:val="49D92DDD"/>
    <w:rsid w:val="49EF5321"/>
    <w:rsid w:val="4A037596"/>
    <w:rsid w:val="4A1A5E29"/>
    <w:rsid w:val="4A347F6C"/>
    <w:rsid w:val="4A444508"/>
    <w:rsid w:val="4A456A14"/>
    <w:rsid w:val="4A66451F"/>
    <w:rsid w:val="4A9D0D79"/>
    <w:rsid w:val="4A9D45B8"/>
    <w:rsid w:val="4A9F545E"/>
    <w:rsid w:val="4AAB056F"/>
    <w:rsid w:val="4AF535C1"/>
    <w:rsid w:val="4B08573B"/>
    <w:rsid w:val="4B130CAC"/>
    <w:rsid w:val="4B372DDA"/>
    <w:rsid w:val="4B626F00"/>
    <w:rsid w:val="4BC53B5B"/>
    <w:rsid w:val="4BE53FE4"/>
    <w:rsid w:val="4C340FD6"/>
    <w:rsid w:val="4C4D4AF8"/>
    <w:rsid w:val="4C744BB3"/>
    <w:rsid w:val="4C851F32"/>
    <w:rsid w:val="4C964045"/>
    <w:rsid w:val="4CE2366D"/>
    <w:rsid w:val="4CF74EC2"/>
    <w:rsid w:val="4D010671"/>
    <w:rsid w:val="4D316B33"/>
    <w:rsid w:val="4D352FBB"/>
    <w:rsid w:val="4D743D8A"/>
    <w:rsid w:val="4DA96C4E"/>
    <w:rsid w:val="4DF70A62"/>
    <w:rsid w:val="4E0614E3"/>
    <w:rsid w:val="4E2452B7"/>
    <w:rsid w:val="4E695109"/>
    <w:rsid w:val="4E9C3B92"/>
    <w:rsid w:val="4E9D6524"/>
    <w:rsid w:val="4EAD1AF9"/>
    <w:rsid w:val="4EB40E5E"/>
    <w:rsid w:val="4EE23C1E"/>
    <w:rsid w:val="4F0A5B3C"/>
    <w:rsid w:val="4F1913AC"/>
    <w:rsid w:val="4F471CD3"/>
    <w:rsid w:val="4F4F5A65"/>
    <w:rsid w:val="4F6426A9"/>
    <w:rsid w:val="4F642884"/>
    <w:rsid w:val="4F7A31F5"/>
    <w:rsid w:val="4F9F2BDD"/>
    <w:rsid w:val="4FB77179"/>
    <w:rsid w:val="4FB92CDA"/>
    <w:rsid w:val="4FD37ECC"/>
    <w:rsid w:val="4FE775A6"/>
    <w:rsid w:val="4FF54231"/>
    <w:rsid w:val="50077447"/>
    <w:rsid w:val="502F4C40"/>
    <w:rsid w:val="50343739"/>
    <w:rsid w:val="5048086E"/>
    <w:rsid w:val="50623802"/>
    <w:rsid w:val="50652E94"/>
    <w:rsid w:val="508700F4"/>
    <w:rsid w:val="50A970CD"/>
    <w:rsid w:val="50C72D83"/>
    <w:rsid w:val="512F2A1E"/>
    <w:rsid w:val="5163596F"/>
    <w:rsid w:val="51642065"/>
    <w:rsid w:val="51895F2D"/>
    <w:rsid w:val="51A0460E"/>
    <w:rsid w:val="51A823AB"/>
    <w:rsid w:val="51CC648B"/>
    <w:rsid w:val="51E202B2"/>
    <w:rsid w:val="52030FE6"/>
    <w:rsid w:val="52065DA2"/>
    <w:rsid w:val="520A7237"/>
    <w:rsid w:val="522E4D5D"/>
    <w:rsid w:val="524A71B5"/>
    <w:rsid w:val="524B4507"/>
    <w:rsid w:val="52642695"/>
    <w:rsid w:val="5279373F"/>
    <w:rsid w:val="528B1069"/>
    <w:rsid w:val="528D5BD8"/>
    <w:rsid w:val="528F0DD4"/>
    <w:rsid w:val="52930D7F"/>
    <w:rsid w:val="5296438C"/>
    <w:rsid w:val="530F2B4C"/>
    <w:rsid w:val="53144C5A"/>
    <w:rsid w:val="53A40EB9"/>
    <w:rsid w:val="53AE0CB6"/>
    <w:rsid w:val="53D170F4"/>
    <w:rsid w:val="543C1277"/>
    <w:rsid w:val="544F1C50"/>
    <w:rsid w:val="54606A92"/>
    <w:rsid w:val="54611A81"/>
    <w:rsid w:val="54A3027F"/>
    <w:rsid w:val="54DC110F"/>
    <w:rsid w:val="55846FDD"/>
    <w:rsid w:val="558933C3"/>
    <w:rsid w:val="55B177EA"/>
    <w:rsid w:val="55CD48C4"/>
    <w:rsid w:val="55D45D46"/>
    <w:rsid w:val="560C425A"/>
    <w:rsid w:val="562365CA"/>
    <w:rsid w:val="56340430"/>
    <w:rsid w:val="56581D59"/>
    <w:rsid w:val="56654E19"/>
    <w:rsid w:val="568502CA"/>
    <w:rsid w:val="56B0773B"/>
    <w:rsid w:val="56B71078"/>
    <w:rsid w:val="56C254B7"/>
    <w:rsid w:val="5709588E"/>
    <w:rsid w:val="570B437B"/>
    <w:rsid w:val="571760EF"/>
    <w:rsid w:val="571F7ADE"/>
    <w:rsid w:val="57792910"/>
    <w:rsid w:val="5781180D"/>
    <w:rsid w:val="57C77D46"/>
    <w:rsid w:val="57CF4F1B"/>
    <w:rsid w:val="5811368B"/>
    <w:rsid w:val="58201757"/>
    <w:rsid w:val="583321C7"/>
    <w:rsid w:val="58514364"/>
    <w:rsid w:val="585818C8"/>
    <w:rsid w:val="58602168"/>
    <w:rsid w:val="5860738B"/>
    <w:rsid w:val="58AB4E89"/>
    <w:rsid w:val="58AD7356"/>
    <w:rsid w:val="58B5550E"/>
    <w:rsid w:val="58BD5C76"/>
    <w:rsid w:val="58C11261"/>
    <w:rsid w:val="58C34E9B"/>
    <w:rsid w:val="58D20175"/>
    <w:rsid w:val="59340E0B"/>
    <w:rsid w:val="59AD7B0E"/>
    <w:rsid w:val="59D55070"/>
    <w:rsid w:val="59DA18AC"/>
    <w:rsid w:val="59E546A4"/>
    <w:rsid w:val="59FD6E5D"/>
    <w:rsid w:val="5A2F5AF5"/>
    <w:rsid w:val="5A4439EB"/>
    <w:rsid w:val="5A637B38"/>
    <w:rsid w:val="5A8D1386"/>
    <w:rsid w:val="5A93303B"/>
    <w:rsid w:val="5ABB6C3C"/>
    <w:rsid w:val="5ACD77B4"/>
    <w:rsid w:val="5AFF7905"/>
    <w:rsid w:val="5B1836AE"/>
    <w:rsid w:val="5B386851"/>
    <w:rsid w:val="5B492C91"/>
    <w:rsid w:val="5B5A797C"/>
    <w:rsid w:val="5B5B66DC"/>
    <w:rsid w:val="5B6B15AA"/>
    <w:rsid w:val="5B726179"/>
    <w:rsid w:val="5B987BF7"/>
    <w:rsid w:val="5B9C16B8"/>
    <w:rsid w:val="5BAF6495"/>
    <w:rsid w:val="5BF25754"/>
    <w:rsid w:val="5BF5497E"/>
    <w:rsid w:val="5C0F1DCA"/>
    <w:rsid w:val="5C1E13B0"/>
    <w:rsid w:val="5C662A50"/>
    <w:rsid w:val="5CB30248"/>
    <w:rsid w:val="5CC73DD6"/>
    <w:rsid w:val="5CEA2522"/>
    <w:rsid w:val="5CF2777D"/>
    <w:rsid w:val="5D0D01B7"/>
    <w:rsid w:val="5D131446"/>
    <w:rsid w:val="5D2708E3"/>
    <w:rsid w:val="5D4C3B50"/>
    <w:rsid w:val="5D664D05"/>
    <w:rsid w:val="5D7C584C"/>
    <w:rsid w:val="5D7F0635"/>
    <w:rsid w:val="5D894E7F"/>
    <w:rsid w:val="5D8D080D"/>
    <w:rsid w:val="5D935CE3"/>
    <w:rsid w:val="5DBF6493"/>
    <w:rsid w:val="5DC05209"/>
    <w:rsid w:val="5DC12605"/>
    <w:rsid w:val="5E3A6AA2"/>
    <w:rsid w:val="5E3E4C2D"/>
    <w:rsid w:val="5E5867E1"/>
    <w:rsid w:val="5E674F7E"/>
    <w:rsid w:val="5E874CE8"/>
    <w:rsid w:val="5EB00E5C"/>
    <w:rsid w:val="5ED35331"/>
    <w:rsid w:val="5EE37831"/>
    <w:rsid w:val="5EEB7859"/>
    <w:rsid w:val="5F0A3D5F"/>
    <w:rsid w:val="5F155949"/>
    <w:rsid w:val="5F213F68"/>
    <w:rsid w:val="5F2F6349"/>
    <w:rsid w:val="5F600D4E"/>
    <w:rsid w:val="5F8E3078"/>
    <w:rsid w:val="5F956DDF"/>
    <w:rsid w:val="5F991667"/>
    <w:rsid w:val="5FA416F1"/>
    <w:rsid w:val="5FD93954"/>
    <w:rsid w:val="5FDC55D3"/>
    <w:rsid w:val="5FF469EE"/>
    <w:rsid w:val="5FFB0094"/>
    <w:rsid w:val="60160416"/>
    <w:rsid w:val="60305CC7"/>
    <w:rsid w:val="604A1238"/>
    <w:rsid w:val="607A4613"/>
    <w:rsid w:val="60A62DBA"/>
    <w:rsid w:val="60C03CCF"/>
    <w:rsid w:val="60C767F0"/>
    <w:rsid w:val="60D42D03"/>
    <w:rsid w:val="60E62C9D"/>
    <w:rsid w:val="60E7307A"/>
    <w:rsid w:val="611B62E0"/>
    <w:rsid w:val="615E501E"/>
    <w:rsid w:val="6180773A"/>
    <w:rsid w:val="61A06374"/>
    <w:rsid w:val="622470A5"/>
    <w:rsid w:val="62247F4C"/>
    <w:rsid w:val="622D2FAA"/>
    <w:rsid w:val="62377615"/>
    <w:rsid w:val="625D25EA"/>
    <w:rsid w:val="62857C4E"/>
    <w:rsid w:val="6286607D"/>
    <w:rsid w:val="62A62781"/>
    <w:rsid w:val="62E05FC6"/>
    <w:rsid w:val="62FD3864"/>
    <w:rsid w:val="63464F7D"/>
    <w:rsid w:val="634B0772"/>
    <w:rsid w:val="635E3783"/>
    <w:rsid w:val="636E7A2E"/>
    <w:rsid w:val="637815DC"/>
    <w:rsid w:val="63815A2A"/>
    <w:rsid w:val="63BF7E8E"/>
    <w:rsid w:val="63C01CBD"/>
    <w:rsid w:val="63C427FD"/>
    <w:rsid w:val="63FC4F9D"/>
    <w:rsid w:val="643F3D04"/>
    <w:rsid w:val="644204E6"/>
    <w:rsid w:val="64635DFB"/>
    <w:rsid w:val="64683A23"/>
    <w:rsid w:val="64942E6C"/>
    <w:rsid w:val="64A86C2E"/>
    <w:rsid w:val="64AF3910"/>
    <w:rsid w:val="64B8587C"/>
    <w:rsid w:val="64BC2C9E"/>
    <w:rsid w:val="64C626B7"/>
    <w:rsid w:val="65683151"/>
    <w:rsid w:val="658066C4"/>
    <w:rsid w:val="65912A7B"/>
    <w:rsid w:val="65D2326E"/>
    <w:rsid w:val="660428AE"/>
    <w:rsid w:val="660D1E09"/>
    <w:rsid w:val="660E4242"/>
    <w:rsid w:val="662519F4"/>
    <w:rsid w:val="66354951"/>
    <w:rsid w:val="666A2C09"/>
    <w:rsid w:val="6679092A"/>
    <w:rsid w:val="669315AD"/>
    <w:rsid w:val="669F035C"/>
    <w:rsid w:val="66A84CFD"/>
    <w:rsid w:val="66BA2385"/>
    <w:rsid w:val="66DB09CF"/>
    <w:rsid w:val="66E96680"/>
    <w:rsid w:val="67237A0F"/>
    <w:rsid w:val="67487CFE"/>
    <w:rsid w:val="67695728"/>
    <w:rsid w:val="677038E2"/>
    <w:rsid w:val="677777A9"/>
    <w:rsid w:val="67B43783"/>
    <w:rsid w:val="67B92A72"/>
    <w:rsid w:val="67D019D1"/>
    <w:rsid w:val="67D547C2"/>
    <w:rsid w:val="67D64A49"/>
    <w:rsid w:val="67FA0E09"/>
    <w:rsid w:val="68075EA1"/>
    <w:rsid w:val="681E2A90"/>
    <w:rsid w:val="68233F9E"/>
    <w:rsid w:val="68277A88"/>
    <w:rsid w:val="686831F8"/>
    <w:rsid w:val="689340A3"/>
    <w:rsid w:val="68A12E72"/>
    <w:rsid w:val="68DC73EC"/>
    <w:rsid w:val="68EE4073"/>
    <w:rsid w:val="69054B5C"/>
    <w:rsid w:val="69293200"/>
    <w:rsid w:val="694347AF"/>
    <w:rsid w:val="694F06EB"/>
    <w:rsid w:val="6963607F"/>
    <w:rsid w:val="696403F8"/>
    <w:rsid w:val="69766916"/>
    <w:rsid w:val="698D63CB"/>
    <w:rsid w:val="698F77F4"/>
    <w:rsid w:val="699D2360"/>
    <w:rsid w:val="69B23B9D"/>
    <w:rsid w:val="69E82867"/>
    <w:rsid w:val="69FC2745"/>
    <w:rsid w:val="6A086F70"/>
    <w:rsid w:val="6A532224"/>
    <w:rsid w:val="6A540655"/>
    <w:rsid w:val="6A5B510D"/>
    <w:rsid w:val="6A80552A"/>
    <w:rsid w:val="6AA159CB"/>
    <w:rsid w:val="6AA26939"/>
    <w:rsid w:val="6ACB1DCC"/>
    <w:rsid w:val="6AD50437"/>
    <w:rsid w:val="6AE4041A"/>
    <w:rsid w:val="6AEE57CB"/>
    <w:rsid w:val="6B092F5A"/>
    <w:rsid w:val="6B106EAD"/>
    <w:rsid w:val="6B3030A0"/>
    <w:rsid w:val="6B417EB3"/>
    <w:rsid w:val="6B6F630E"/>
    <w:rsid w:val="6B707214"/>
    <w:rsid w:val="6B923E7E"/>
    <w:rsid w:val="6B9C69D2"/>
    <w:rsid w:val="6BB104FC"/>
    <w:rsid w:val="6BBB0AAB"/>
    <w:rsid w:val="6BC75657"/>
    <w:rsid w:val="6BD126F0"/>
    <w:rsid w:val="6BE1773A"/>
    <w:rsid w:val="6BE35659"/>
    <w:rsid w:val="6C2B66F7"/>
    <w:rsid w:val="6C56491E"/>
    <w:rsid w:val="6C5B64F3"/>
    <w:rsid w:val="6C99501C"/>
    <w:rsid w:val="6CB84F3A"/>
    <w:rsid w:val="6D05726A"/>
    <w:rsid w:val="6D4D4308"/>
    <w:rsid w:val="6D673555"/>
    <w:rsid w:val="6D717C1E"/>
    <w:rsid w:val="6D92611A"/>
    <w:rsid w:val="6D981B81"/>
    <w:rsid w:val="6D994274"/>
    <w:rsid w:val="6DB90857"/>
    <w:rsid w:val="6DC267F1"/>
    <w:rsid w:val="6E032FC6"/>
    <w:rsid w:val="6E083615"/>
    <w:rsid w:val="6E0D26B4"/>
    <w:rsid w:val="6E360FB8"/>
    <w:rsid w:val="6E44084F"/>
    <w:rsid w:val="6E4F3DA5"/>
    <w:rsid w:val="6E6F0BB4"/>
    <w:rsid w:val="6E6F1D57"/>
    <w:rsid w:val="6E7A62E4"/>
    <w:rsid w:val="6E9D2927"/>
    <w:rsid w:val="6EB25B0B"/>
    <w:rsid w:val="6EB80BA0"/>
    <w:rsid w:val="6ED37D90"/>
    <w:rsid w:val="6EDF02CD"/>
    <w:rsid w:val="6F00046B"/>
    <w:rsid w:val="6F065AB6"/>
    <w:rsid w:val="6F3364F9"/>
    <w:rsid w:val="6F441647"/>
    <w:rsid w:val="6F4D0F66"/>
    <w:rsid w:val="6F505503"/>
    <w:rsid w:val="6F57424B"/>
    <w:rsid w:val="6F612830"/>
    <w:rsid w:val="6F9E5543"/>
    <w:rsid w:val="6FD10B10"/>
    <w:rsid w:val="6FE61F22"/>
    <w:rsid w:val="6FFD00DA"/>
    <w:rsid w:val="701F34FD"/>
    <w:rsid w:val="70352925"/>
    <w:rsid w:val="70505871"/>
    <w:rsid w:val="7059136B"/>
    <w:rsid w:val="706B4405"/>
    <w:rsid w:val="70732893"/>
    <w:rsid w:val="70801B07"/>
    <w:rsid w:val="709A7A5C"/>
    <w:rsid w:val="70A1406F"/>
    <w:rsid w:val="70B0465E"/>
    <w:rsid w:val="70EE7DA8"/>
    <w:rsid w:val="70FE623D"/>
    <w:rsid w:val="71162540"/>
    <w:rsid w:val="715B3C2A"/>
    <w:rsid w:val="717A163C"/>
    <w:rsid w:val="71803C89"/>
    <w:rsid w:val="71994E64"/>
    <w:rsid w:val="71CA7676"/>
    <w:rsid w:val="71DE606F"/>
    <w:rsid w:val="71E22C51"/>
    <w:rsid w:val="71EA7695"/>
    <w:rsid w:val="71EE7FB9"/>
    <w:rsid w:val="72536FDC"/>
    <w:rsid w:val="727D75DF"/>
    <w:rsid w:val="72BB74DD"/>
    <w:rsid w:val="72D36E77"/>
    <w:rsid w:val="72DD2BAD"/>
    <w:rsid w:val="72FB66FD"/>
    <w:rsid w:val="732872C5"/>
    <w:rsid w:val="7360086A"/>
    <w:rsid w:val="739A0DC0"/>
    <w:rsid w:val="73B920B2"/>
    <w:rsid w:val="74085669"/>
    <w:rsid w:val="740A0363"/>
    <w:rsid w:val="740C33C7"/>
    <w:rsid w:val="74275169"/>
    <w:rsid w:val="74412921"/>
    <w:rsid w:val="744F77D8"/>
    <w:rsid w:val="7475710D"/>
    <w:rsid w:val="747621BD"/>
    <w:rsid w:val="747C3CCA"/>
    <w:rsid w:val="74A7099F"/>
    <w:rsid w:val="75086A21"/>
    <w:rsid w:val="750B356A"/>
    <w:rsid w:val="750C4DDC"/>
    <w:rsid w:val="7510569F"/>
    <w:rsid w:val="75502DDF"/>
    <w:rsid w:val="756950CA"/>
    <w:rsid w:val="75922EAF"/>
    <w:rsid w:val="75AD28A1"/>
    <w:rsid w:val="75C224B9"/>
    <w:rsid w:val="76013E56"/>
    <w:rsid w:val="760A7D9D"/>
    <w:rsid w:val="76335855"/>
    <w:rsid w:val="763E51CC"/>
    <w:rsid w:val="76465F91"/>
    <w:rsid w:val="766026E6"/>
    <w:rsid w:val="76B770A6"/>
    <w:rsid w:val="76BB3818"/>
    <w:rsid w:val="76CE7275"/>
    <w:rsid w:val="76DD60BF"/>
    <w:rsid w:val="76E4362B"/>
    <w:rsid w:val="770A1659"/>
    <w:rsid w:val="7712242B"/>
    <w:rsid w:val="771F60E4"/>
    <w:rsid w:val="77231D40"/>
    <w:rsid w:val="773A7A8E"/>
    <w:rsid w:val="77592400"/>
    <w:rsid w:val="77825F67"/>
    <w:rsid w:val="77B91A42"/>
    <w:rsid w:val="77C5780E"/>
    <w:rsid w:val="77F35CA4"/>
    <w:rsid w:val="782F327E"/>
    <w:rsid w:val="78397A32"/>
    <w:rsid w:val="78A06277"/>
    <w:rsid w:val="78C64F8E"/>
    <w:rsid w:val="791A1EB8"/>
    <w:rsid w:val="791E4FA3"/>
    <w:rsid w:val="797167CA"/>
    <w:rsid w:val="798E4E1E"/>
    <w:rsid w:val="799E2AB3"/>
    <w:rsid w:val="79A37A59"/>
    <w:rsid w:val="79C61A14"/>
    <w:rsid w:val="79C85435"/>
    <w:rsid w:val="79EE5B89"/>
    <w:rsid w:val="79F05A1B"/>
    <w:rsid w:val="79F05C22"/>
    <w:rsid w:val="7A020CA3"/>
    <w:rsid w:val="7A067805"/>
    <w:rsid w:val="7AA408FA"/>
    <w:rsid w:val="7B123707"/>
    <w:rsid w:val="7B236D19"/>
    <w:rsid w:val="7B307625"/>
    <w:rsid w:val="7B347CEC"/>
    <w:rsid w:val="7B576B4E"/>
    <w:rsid w:val="7B761608"/>
    <w:rsid w:val="7B761892"/>
    <w:rsid w:val="7B87133C"/>
    <w:rsid w:val="7BF4357B"/>
    <w:rsid w:val="7C105077"/>
    <w:rsid w:val="7C416F95"/>
    <w:rsid w:val="7C4E5B9F"/>
    <w:rsid w:val="7C580760"/>
    <w:rsid w:val="7C8B3404"/>
    <w:rsid w:val="7C9C47E0"/>
    <w:rsid w:val="7C9E070C"/>
    <w:rsid w:val="7CBB152F"/>
    <w:rsid w:val="7D1C38BC"/>
    <w:rsid w:val="7D2C343C"/>
    <w:rsid w:val="7D3603BB"/>
    <w:rsid w:val="7D4C3183"/>
    <w:rsid w:val="7D7609A4"/>
    <w:rsid w:val="7D9314F6"/>
    <w:rsid w:val="7D9C06C0"/>
    <w:rsid w:val="7DBE5AB2"/>
    <w:rsid w:val="7DDB441F"/>
    <w:rsid w:val="7E4B1AB3"/>
    <w:rsid w:val="7E58216F"/>
    <w:rsid w:val="7E58478A"/>
    <w:rsid w:val="7E70415D"/>
    <w:rsid w:val="7E74313A"/>
    <w:rsid w:val="7E7F1745"/>
    <w:rsid w:val="7E886BD8"/>
    <w:rsid w:val="7E922F1E"/>
    <w:rsid w:val="7E9C1A45"/>
    <w:rsid w:val="7EEF7176"/>
    <w:rsid w:val="7F08427C"/>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1039</Words>
  <Characters>5923</Characters>
  <Lines>49</Lines>
  <Paragraphs>13</Paragraphs>
  <TotalTime>1</TotalTime>
  <ScaleCrop>false</ScaleCrop>
  <LinksUpToDate>false</LinksUpToDate>
  <CharactersWithSpaces>6949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谭佳瑶</cp:lastModifiedBy>
  <dcterms:modified xsi:type="dcterms:W3CDTF">2024-04-04T13:08:52Z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0D8DC7ACBFF54AD9B409C1868E79E1E0_13</vt:lpwstr>
  </property>
</Properties>
</file>